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B643" w14:textId="77777777" w:rsidR="001D6545" w:rsidRPr="00424CC2" w:rsidRDefault="00AE3A6C" w:rsidP="00F1624F">
      <w:pPr>
        <w:jc w:val="right"/>
        <w:rPr>
          <w:rFonts w:ascii="Arial" w:eastAsia="Times New Roman" w:hAnsi="Arial" w:cs="Arial"/>
          <w:b/>
          <w:bCs/>
          <w:color w:val="000000"/>
          <w:sz w:val="32"/>
        </w:rPr>
      </w:pPr>
      <w:r w:rsidRPr="00424CC2">
        <w:rPr>
          <w:rFonts w:ascii="Arial" w:eastAsia="Times New Roman" w:hAnsi="Arial" w:cs="Arial"/>
          <w:b/>
          <w:bCs/>
          <w:color w:val="000000"/>
          <w:sz w:val="32"/>
        </w:rPr>
        <w:softHyphen/>
      </w:r>
      <w:r w:rsidRPr="00424CC2">
        <w:rPr>
          <w:rFonts w:ascii="Arial" w:eastAsia="Times New Roman" w:hAnsi="Arial" w:cs="Arial"/>
          <w:b/>
          <w:bCs/>
          <w:color w:val="000000"/>
          <w:sz w:val="32"/>
        </w:rPr>
        <w:softHyphen/>
      </w:r>
      <w:r w:rsidR="00FB2AE8" w:rsidRPr="00424CC2">
        <w:rPr>
          <w:rFonts w:ascii="Arial" w:eastAsia="Times New Roman" w:hAnsi="Arial" w:cs="Arial"/>
          <w:b/>
          <w:bCs/>
          <w:noProof/>
          <w:color w:val="000000"/>
          <w:sz w:val="32"/>
        </w:rPr>
        <w:drawing>
          <wp:inline distT="0" distB="0" distL="0" distR="0" wp14:anchorId="618638E4" wp14:editId="75417D55">
            <wp:extent cx="1663700" cy="66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3700" cy="660400"/>
                    </a:xfrm>
                    <a:prstGeom prst="rect">
                      <a:avLst/>
                    </a:prstGeom>
                  </pic:spPr>
                </pic:pic>
              </a:graphicData>
            </a:graphic>
          </wp:inline>
        </w:drawing>
      </w:r>
    </w:p>
    <w:p w14:paraId="547D0ED7" w14:textId="77777777" w:rsidR="00F1624F" w:rsidRPr="00F1624F" w:rsidRDefault="00F1624F" w:rsidP="00D674FD">
      <w:pPr>
        <w:rPr>
          <w:rFonts w:ascii="Arial" w:eastAsia="Times New Roman" w:hAnsi="Arial" w:cs="Arial"/>
          <w:b/>
          <w:bCs/>
          <w:color w:val="000000"/>
          <w:sz w:val="16"/>
          <w:szCs w:val="16"/>
        </w:rPr>
      </w:pPr>
    </w:p>
    <w:p w14:paraId="78045F15" w14:textId="77777777" w:rsidR="00D674FD" w:rsidRDefault="00FB2AE8" w:rsidP="00D674FD">
      <w:pPr>
        <w:jc w:val="center"/>
        <w:rPr>
          <w:rFonts w:ascii="Arial" w:eastAsia="Times New Roman" w:hAnsi="Arial" w:cs="Arial"/>
          <w:b/>
          <w:bCs/>
          <w:color w:val="000000"/>
          <w:sz w:val="30"/>
          <w:szCs w:val="30"/>
        </w:rPr>
      </w:pPr>
      <w:bookmarkStart w:id="0" w:name="_GoBack"/>
      <w:r w:rsidRPr="00D674FD">
        <w:rPr>
          <w:rFonts w:ascii="Arial" w:eastAsia="Times New Roman" w:hAnsi="Arial" w:cs="Arial"/>
          <w:b/>
          <w:bCs/>
          <w:color w:val="000000"/>
          <w:sz w:val="30"/>
          <w:szCs w:val="30"/>
        </w:rPr>
        <w:t xml:space="preserve">Friends of the Earth Scotland’s response to </w:t>
      </w:r>
    </w:p>
    <w:p w14:paraId="28D54AB0" w14:textId="77777777" w:rsidR="00D674FD" w:rsidRDefault="00FB2AE8" w:rsidP="00D674FD">
      <w:pPr>
        <w:jc w:val="center"/>
        <w:rPr>
          <w:rFonts w:ascii="Arial" w:eastAsia="Times New Roman" w:hAnsi="Arial" w:cs="Arial"/>
          <w:b/>
          <w:bCs/>
          <w:color w:val="000000"/>
          <w:sz w:val="30"/>
          <w:szCs w:val="30"/>
        </w:rPr>
      </w:pPr>
      <w:r w:rsidRPr="00D674FD">
        <w:rPr>
          <w:rFonts w:ascii="Arial" w:eastAsia="Times New Roman" w:hAnsi="Arial" w:cs="Arial"/>
          <w:b/>
          <w:bCs/>
          <w:color w:val="000000"/>
          <w:sz w:val="30"/>
          <w:szCs w:val="30"/>
        </w:rPr>
        <w:t>the Scottish Government’s</w:t>
      </w:r>
      <w:r w:rsidR="001D6545" w:rsidRPr="00D674FD">
        <w:rPr>
          <w:rFonts w:ascii="Arial" w:eastAsia="Times New Roman" w:hAnsi="Arial" w:cs="Arial"/>
          <w:b/>
          <w:bCs/>
          <w:color w:val="000000"/>
          <w:sz w:val="30"/>
          <w:szCs w:val="30"/>
        </w:rPr>
        <w:t xml:space="preserve"> </w:t>
      </w:r>
      <w:r w:rsidR="00D34360" w:rsidRPr="00D674FD">
        <w:rPr>
          <w:rFonts w:ascii="Arial" w:eastAsia="Times New Roman" w:hAnsi="Arial" w:cs="Arial"/>
          <w:b/>
          <w:bCs/>
          <w:color w:val="000000"/>
          <w:sz w:val="30"/>
          <w:szCs w:val="30"/>
        </w:rPr>
        <w:t xml:space="preserve">review of </w:t>
      </w:r>
    </w:p>
    <w:p w14:paraId="479D28C4" w14:textId="5AC09307" w:rsidR="00FB2AE8" w:rsidRPr="00D674FD" w:rsidRDefault="00D34360" w:rsidP="00D674FD">
      <w:pPr>
        <w:jc w:val="center"/>
        <w:rPr>
          <w:rFonts w:ascii="Arial" w:eastAsia="Times New Roman" w:hAnsi="Arial" w:cs="Arial"/>
          <w:b/>
          <w:bCs/>
          <w:color w:val="000000"/>
          <w:sz w:val="30"/>
          <w:szCs w:val="30"/>
        </w:rPr>
      </w:pPr>
      <w:r w:rsidRPr="00D674FD">
        <w:rPr>
          <w:rFonts w:ascii="Arial" w:eastAsia="Times New Roman" w:hAnsi="Arial" w:cs="Arial"/>
          <w:b/>
          <w:bCs/>
          <w:color w:val="000000"/>
          <w:sz w:val="30"/>
          <w:szCs w:val="30"/>
        </w:rPr>
        <w:t xml:space="preserve">decarbonisation options for </w:t>
      </w:r>
      <w:r w:rsidR="00130124" w:rsidRPr="00D674FD">
        <w:rPr>
          <w:rFonts w:ascii="Arial" w:eastAsia="Times New Roman" w:hAnsi="Arial" w:cs="Arial"/>
          <w:b/>
          <w:bCs/>
          <w:color w:val="000000"/>
          <w:sz w:val="30"/>
          <w:szCs w:val="30"/>
        </w:rPr>
        <w:t>incineration</w:t>
      </w:r>
    </w:p>
    <w:bookmarkEnd w:id="0"/>
    <w:p w14:paraId="7331C59C" w14:textId="77777777" w:rsidR="00FB2AE8" w:rsidRPr="00D674FD" w:rsidRDefault="00FB2AE8" w:rsidP="00FB2AE8">
      <w:pPr>
        <w:jc w:val="center"/>
        <w:rPr>
          <w:rFonts w:ascii="Arial" w:eastAsia="Times New Roman" w:hAnsi="Arial" w:cs="Arial"/>
          <w:b/>
          <w:bCs/>
          <w:color w:val="000000"/>
          <w:sz w:val="30"/>
          <w:szCs w:val="30"/>
        </w:rPr>
      </w:pPr>
    </w:p>
    <w:p w14:paraId="5776ECC7" w14:textId="77777777" w:rsidR="00FB2AE8" w:rsidRPr="00D674FD" w:rsidRDefault="00D34360" w:rsidP="00197CFB">
      <w:pPr>
        <w:jc w:val="center"/>
        <w:rPr>
          <w:rFonts w:ascii="Arial" w:eastAsia="Times New Roman" w:hAnsi="Arial" w:cs="Arial"/>
          <w:b/>
          <w:bCs/>
          <w:color w:val="000000"/>
          <w:sz w:val="30"/>
          <w:szCs w:val="30"/>
        </w:rPr>
      </w:pPr>
      <w:r w:rsidRPr="00D674FD">
        <w:rPr>
          <w:rFonts w:ascii="Arial" w:eastAsia="Times New Roman" w:hAnsi="Arial" w:cs="Arial"/>
          <w:b/>
          <w:bCs/>
          <w:color w:val="000000"/>
          <w:sz w:val="30"/>
          <w:szCs w:val="30"/>
        </w:rPr>
        <w:t>September</w:t>
      </w:r>
      <w:r w:rsidR="00FB2AE8" w:rsidRPr="00D674FD">
        <w:rPr>
          <w:rFonts w:ascii="Arial" w:eastAsia="Times New Roman" w:hAnsi="Arial" w:cs="Arial"/>
          <w:b/>
          <w:bCs/>
          <w:color w:val="000000"/>
          <w:sz w:val="30"/>
          <w:szCs w:val="30"/>
        </w:rPr>
        <w:t xml:space="preserve"> 2022</w:t>
      </w:r>
    </w:p>
    <w:p w14:paraId="086678EB" w14:textId="77777777" w:rsidR="00FB2AE8" w:rsidRPr="00424CC2" w:rsidRDefault="00FB2AE8" w:rsidP="00FB2AE8">
      <w:pPr>
        <w:rPr>
          <w:rFonts w:ascii="Arial" w:eastAsia="Times New Roman" w:hAnsi="Arial" w:cs="Arial"/>
          <w:b/>
          <w:bCs/>
          <w:color w:val="000000"/>
          <w:sz w:val="32"/>
        </w:rPr>
      </w:pPr>
    </w:p>
    <w:p w14:paraId="5E39950E" w14:textId="5781EA03" w:rsidR="00FB2AE8" w:rsidRPr="00424CC2" w:rsidRDefault="00040C8F" w:rsidP="00EB765C">
      <w:pPr>
        <w:pStyle w:val="Heading1"/>
        <w:rPr>
          <w:rFonts w:eastAsia="Times New Roman"/>
        </w:rPr>
      </w:pPr>
      <w:bookmarkStart w:id="1" w:name="_Toc115343393"/>
      <w:r>
        <w:rPr>
          <w:rFonts w:eastAsia="Times New Roman"/>
        </w:rPr>
        <w:t xml:space="preserve">Executive </w:t>
      </w:r>
      <w:r w:rsidR="00FB2AE8" w:rsidRPr="00424CC2">
        <w:rPr>
          <w:rFonts w:eastAsia="Times New Roman"/>
        </w:rPr>
        <w:t>Summary</w:t>
      </w:r>
      <w:bookmarkEnd w:id="1"/>
    </w:p>
    <w:p w14:paraId="462B8021" w14:textId="5F3C71AF" w:rsidR="00DC3DAD" w:rsidRDefault="001D047E">
      <w:pPr>
        <w:rPr>
          <w:rFonts w:ascii="Arial" w:hAnsi="Arial" w:cs="Arial"/>
        </w:rPr>
      </w:pPr>
      <w:r w:rsidRPr="00424CC2">
        <w:rPr>
          <w:rFonts w:ascii="Arial" w:hAnsi="Arial" w:cs="Arial"/>
        </w:rPr>
        <w:t>The</w:t>
      </w:r>
      <w:r w:rsidR="00D34360" w:rsidRPr="00424CC2">
        <w:rPr>
          <w:rFonts w:ascii="Arial" w:hAnsi="Arial" w:cs="Arial"/>
        </w:rPr>
        <w:t xml:space="preserve"> rapid and extensive decarbonisation of the residual waste management sector, especially incineration, is a vital step in meeting Scotland’s national climate goals, circular economy aims and global justice concerns. </w:t>
      </w:r>
      <w:r w:rsidR="00D80877">
        <w:rPr>
          <w:rFonts w:ascii="Arial" w:hAnsi="Arial" w:cs="Arial"/>
        </w:rPr>
        <w:t xml:space="preserve">Scotland’s incineration capacity must reduce </w:t>
      </w:r>
      <w:r w:rsidR="00DC3DAD">
        <w:rPr>
          <w:rFonts w:ascii="Arial" w:hAnsi="Arial" w:cs="Arial"/>
        </w:rPr>
        <w:t>in line with our climate targets</w:t>
      </w:r>
      <w:r w:rsidR="00E000D8">
        <w:rPr>
          <w:rFonts w:ascii="Arial" w:hAnsi="Arial" w:cs="Arial"/>
        </w:rPr>
        <w:t>:</w:t>
      </w:r>
      <w:r w:rsidR="00DC3DAD">
        <w:rPr>
          <w:rFonts w:ascii="Arial" w:hAnsi="Arial" w:cs="Arial"/>
        </w:rPr>
        <w:t xml:space="preserve"> </w:t>
      </w:r>
      <w:r w:rsidR="00E000D8">
        <w:rPr>
          <w:rFonts w:ascii="Arial" w:hAnsi="Arial" w:cs="Arial"/>
        </w:rPr>
        <w:t>e</w:t>
      </w:r>
      <w:r w:rsidR="00B549F5">
        <w:rPr>
          <w:rFonts w:ascii="Arial" w:hAnsi="Arial" w:cs="Arial"/>
        </w:rPr>
        <w:t>missions from incineration must reduce to 75% by 2030</w:t>
      </w:r>
      <w:r w:rsidR="00E000D8">
        <w:rPr>
          <w:rFonts w:ascii="Arial" w:hAnsi="Arial" w:cs="Arial"/>
        </w:rPr>
        <w:t xml:space="preserve"> and </w:t>
      </w:r>
      <w:r w:rsidR="00190643">
        <w:rPr>
          <w:rFonts w:ascii="Arial" w:hAnsi="Arial" w:cs="Arial"/>
        </w:rPr>
        <w:t xml:space="preserve">net zero </w:t>
      </w:r>
      <w:r w:rsidR="00E000D8">
        <w:rPr>
          <w:rFonts w:ascii="Arial" w:hAnsi="Arial" w:cs="Arial"/>
        </w:rPr>
        <w:t xml:space="preserve">by 2045, </w:t>
      </w:r>
      <w:r w:rsidR="00190643">
        <w:rPr>
          <w:rFonts w:ascii="Arial" w:hAnsi="Arial" w:cs="Arial"/>
        </w:rPr>
        <w:t xml:space="preserve">at the least, </w:t>
      </w:r>
      <w:r w:rsidR="00E000D8">
        <w:rPr>
          <w:rFonts w:ascii="Arial" w:hAnsi="Arial" w:cs="Arial"/>
        </w:rPr>
        <w:t>relative to 1990 levels</w:t>
      </w:r>
      <w:r w:rsidR="00B549F5">
        <w:rPr>
          <w:rFonts w:ascii="Arial" w:hAnsi="Arial" w:cs="Arial"/>
        </w:rPr>
        <w:t xml:space="preserve">. </w:t>
      </w:r>
      <w:r w:rsidR="00DC3DAD">
        <w:rPr>
          <w:rFonts w:ascii="Arial" w:hAnsi="Arial" w:cs="Arial"/>
        </w:rPr>
        <w:t>As with a</w:t>
      </w:r>
      <w:r w:rsidR="00907532">
        <w:rPr>
          <w:rFonts w:ascii="Arial" w:hAnsi="Arial" w:cs="Arial"/>
        </w:rPr>
        <w:t>ny</w:t>
      </w:r>
      <w:r w:rsidR="00DC3DAD">
        <w:rPr>
          <w:rFonts w:ascii="Arial" w:hAnsi="Arial" w:cs="Arial"/>
        </w:rPr>
        <w:t xml:space="preserve"> sectors, all possible efforts to reduce the direct emissions from incineration </w:t>
      </w:r>
      <w:r w:rsidR="00907532">
        <w:rPr>
          <w:rFonts w:ascii="Arial" w:hAnsi="Arial" w:cs="Arial"/>
        </w:rPr>
        <w:t>must be made</w:t>
      </w:r>
      <w:r w:rsidR="00DC3DAD">
        <w:rPr>
          <w:rFonts w:ascii="Arial" w:hAnsi="Arial" w:cs="Arial"/>
        </w:rPr>
        <w:t>.</w:t>
      </w:r>
    </w:p>
    <w:p w14:paraId="505401AF" w14:textId="77777777" w:rsidR="00B446DE" w:rsidRPr="00D80877" w:rsidRDefault="00B446DE">
      <w:pPr>
        <w:rPr>
          <w:rFonts w:ascii="Arial" w:hAnsi="Arial" w:cs="Arial"/>
        </w:rPr>
      </w:pPr>
    </w:p>
    <w:p w14:paraId="41D1731C" w14:textId="77777777" w:rsidR="0091094A" w:rsidRPr="00424CC2" w:rsidRDefault="001D047E">
      <w:pPr>
        <w:rPr>
          <w:rFonts w:ascii="Arial" w:hAnsi="Arial" w:cs="Arial"/>
        </w:rPr>
      </w:pPr>
      <w:r w:rsidRPr="00D80877">
        <w:rPr>
          <w:rFonts w:ascii="Arial" w:hAnsi="Arial" w:cs="Arial"/>
        </w:rPr>
        <w:t xml:space="preserve">The only way to ensure extensive decarbonisation </w:t>
      </w:r>
      <w:r w:rsidR="00D80877">
        <w:rPr>
          <w:rFonts w:ascii="Arial" w:hAnsi="Arial" w:cs="Arial"/>
        </w:rPr>
        <w:t>is achieved requires multiple actions, including</w:t>
      </w:r>
      <w:r w:rsidR="00130124" w:rsidRPr="00D80877">
        <w:rPr>
          <w:rFonts w:ascii="Arial" w:hAnsi="Arial" w:cs="Arial"/>
        </w:rPr>
        <w:t>:</w:t>
      </w:r>
      <w:r w:rsidRPr="00D80877">
        <w:rPr>
          <w:rFonts w:ascii="Arial" w:hAnsi="Arial" w:cs="Arial"/>
        </w:rPr>
        <w:t xml:space="preserve"> </w:t>
      </w:r>
    </w:p>
    <w:p w14:paraId="1B39DF87" w14:textId="43D026E2" w:rsidR="00FA5E48" w:rsidRPr="00424CC2" w:rsidRDefault="00D80877" w:rsidP="00027C6E">
      <w:pPr>
        <w:pStyle w:val="ListParagraph"/>
        <w:numPr>
          <w:ilvl w:val="0"/>
          <w:numId w:val="5"/>
        </w:numPr>
        <w:rPr>
          <w:rFonts w:ascii="Arial" w:hAnsi="Arial" w:cs="Arial"/>
        </w:rPr>
      </w:pPr>
      <w:r>
        <w:rPr>
          <w:rFonts w:ascii="Arial" w:hAnsi="Arial" w:cs="Arial"/>
        </w:rPr>
        <w:t>A rapid phaseout of</w:t>
      </w:r>
      <w:r w:rsidR="001D047E" w:rsidRPr="00424CC2">
        <w:rPr>
          <w:rFonts w:ascii="Arial" w:hAnsi="Arial" w:cs="Arial"/>
        </w:rPr>
        <w:t xml:space="preserve"> Scotland’s incineration capacity</w:t>
      </w:r>
      <w:r w:rsidR="00210609">
        <w:rPr>
          <w:rFonts w:ascii="Arial" w:hAnsi="Arial" w:cs="Arial"/>
        </w:rPr>
        <w:t>,</w:t>
      </w:r>
      <w:r>
        <w:rPr>
          <w:rFonts w:ascii="Arial" w:hAnsi="Arial" w:cs="Arial"/>
        </w:rPr>
        <w:t xml:space="preserve"> </w:t>
      </w:r>
      <w:r w:rsidR="00210609">
        <w:rPr>
          <w:rFonts w:ascii="Arial" w:hAnsi="Arial" w:cs="Arial"/>
        </w:rPr>
        <w:t xml:space="preserve">in line with Scotland’s climate targets, </w:t>
      </w:r>
      <w:r>
        <w:rPr>
          <w:rFonts w:ascii="Arial" w:hAnsi="Arial" w:cs="Arial"/>
        </w:rPr>
        <w:t>by</w:t>
      </w:r>
      <w:r w:rsidR="00FA5E48" w:rsidRPr="00424CC2">
        <w:rPr>
          <w:rFonts w:ascii="Arial" w:hAnsi="Arial" w:cs="Arial"/>
        </w:rPr>
        <w:t>:</w:t>
      </w:r>
    </w:p>
    <w:p w14:paraId="1640F62B" w14:textId="77777777" w:rsidR="00FA5E48" w:rsidRPr="00424CC2" w:rsidRDefault="00FA5E48" w:rsidP="00FA5E48">
      <w:pPr>
        <w:pStyle w:val="ListParagraph"/>
        <w:numPr>
          <w:ilvl w:val="1"/>
          <w:numId w:val="5"/>
        </w:numPr>
        <w:rPr>
          <w:rFonts w:ascii="Arial" w:hAnsi="Arial" w:cs="Arial"/>
        </w:rPr>
      </w:pPr>
      <w:r w:rsidRPr="00424CC2">
        <w:rPr>
          <w:rFonts w:ascii="Arial" w:hAnsi="Arial" w:cs="Arial"/>
        </w:rPr>
        <w:t>Maintain</w:t>
      </w:r>
      <w:r w:rsidR="00197CFB">
        <w:rPr>
          <w:rFonts w:ascii="Arial" w:hAnsi="Arial" w:cs="Arial"/>
        </w:rPr>
        <w:t>ing</w:t>
      </w:r>
      <w:r w:rsidR="001D047E" w:rsidRPr="00424CC2">
        <w:rPr>
          <w:rFonts w:ascii="Arial" w:hAnsi="Arial" w:cs="Arial"/>
        </w:rPr>
        <w:t xml:space="preserve"> the moratorium</w:t>
      </w:r>
      <w:r w:rsidRPr="00424CC2">
        <w:rPr>
          <w:rFonts w:ascii="Arial" w:hAnsi="Arial" w:cs="Arial"/>
        </w:rPr>
        <w:t xml:space="preserve"> on new incinerators by applying it </w:t>
      </w:r>
      <w:r w:rsidRPr="00D674FD">
        <w:rPr>
          <w:rFonts w:ascii="Arial" w:hAnsi="Arial" w:cs="Arial"/>
          <w:b/>
        </w:rPr>
        <w:t>strictly and extensively</w:t>
      </w:r>
      <w:r w:rsidRPr="00424CC2">
        <w:rPr>
          <w:rFonts w:ascii="Arial" w:hAnsi="Arial" w:cs="Arial"/>
        </w:rPr>
        <w:t xml:space="preserve"> to </w:t>
      </w:r>
      <w:r w:rsidR="00AE3A6C" w:rsidRPr="00424CC2">
        <w:rPr>
          <w:rFonts w:ascii="Arial" w:hAnsi="Arial" w:cs="Arial"/>
        </w:rPr>
        <w:t xml:space="preserve">all </w:t>
      </w:r>
      <w:r w:rsidRPr="00424CC2">
        <w:rPr>
          <w:rFonts w:ascii="Arial" w:hAnsi="Arial" w:cs="Arial"/>
        </w:rPr>
        <w:t>proposals;</w:t>
      </w:r>
    </w:p>
    <w:p w14:paraId="553084F8" w14:textId="5D6378E7" w:rsidR="00FA5E48" w:rsidRDefault="00306B27" w:rsidP="00FA5E48">
      <w:pPr>
        <w:pStyle w:val="ListParagraph"/>
        <w:numPr>
          <w:ilvl w:val="1"/>
          <w:numId w:val="5"/>
        </w:numPr>
        <w:rPr>
          <w:rFonts w:ascii="Arial" w:hAnsi="Arial" w:cs="Arial"/>
        </w:rPr>
      </w:pPr>
      <w:r>
        <w:rPr>
          <w:rFonts w:ascii="Arial" w:hAnsi="Arial" w:cs="Arial"/>
        </w:rPr>
        <w:t>Planned i</w:t>
      </w:r>
      <w:r w:rsidR="00FA5E48" w:rsidRPr="00424CC2">
        <w:rPr>
          <w:rFonts w:ascii="Arial" w:hAnsi="Arial" w:cs="Arial"/>
        </w:rPr>
        <w:t>ncinerators</w:t>
      </w:r>
      <w:r>
        <w:rPr>
          <w:rFonts w:ascii="Arial" w:hAnsi="Arial" w:cs="Arial"/>
        </w:rPr>
        <w:t>, including those in construction</w:t>
      </w:r>
      <w:r w:rsidRPr="00D674FD">
        <w:rPr>
          <w:rFonts w:ascii="Arial" w:hAnsi="Arial" w:cs="Arial"/>
          <w:b/>
        </w:rPr>
        <w:t>,</w:t>
      </w:r>
      <w:r w:rsidR="00FA5E48" w:rsidRPr="00D674FD">
        <w:rPr>
          <w:rFonts w:ascii="Arial" w:hAnsi="Arial" w:cs="Arial"/>
          <w:b/>
        </w:rPr>
        <w:t xml:space="preserve"> should </w:t>
      </w:r>
      <w:r w:rsidR="00AE3A6C" w:rsidRPr="00D674FD">
        <w:rPr>
          <w:rFonts w:ascii="Arial" w:hAnsi="Arial" w:cs="Arial"/>
          <w:b/>
        </w:rPr>
        <w:t xml:space="preserve">not </w:t>
      </w:r>
      <w:r w:rsidR="00F1624F" w:rsidRPr="00D674FD">
        <w:rPr>
          <w:rFonts w:ascii="Arial" w:hAnsi="Arial" w:cs="Arial"/>
          <w:b/>
        </w:rPr>
        <w:t>be built</w:t>
      </w:r>
      <w:r w:rsidRPr="00D674FD">
        <w:rPr>
          <w:rFonts w:ascii="Arial" w:hAnsi="Arial" w:cs="Arial"/>
          <w:b/>
        </w:rPr>
        <w:t xml:space="preserve"> or begin operating</w:t>
      </w:r>
      <w:r w:rsidR="00FA5E48" w:rsidRPr="00424CC2">
        <w:rPr>
          <w:rFonts w:ascii="Arial" w:hAnsi="Arial" w:cs="Arial"/>
        </w:rPr>
        <w:t>;</w:t>
      </w:r>
    </w:p>
    <w:p w14:paraId="4774DD69" w14:textId="77777777" w:rsidR="00040C8F" w:rsidRPr="00040C8F" w:rsidRDefault="00306B27" w:rsidP="00040C8F">
      <w:pPr>
        <w:pStyle w:val="ListParagraph"/>
        <w:numPr>
          <w:ilvl w:val="1"/>
          <w:numId w:val="5"/>
        </w:numPr>
        <w:rPr>
          <w:rFonts w:ascii="Arial" w:hAnsi="Arial" w:cs="Arial"/>
          <w:i/>
        </w:rPr>
      </w:pPr>
      <w:r>
        <w:rPr>
          <w:rFonts w:ascii="Arial" w:hAnsi="Arial" w:cs="Arial"/>
        </w:rPr>
        <w:t>Operational</w:t>
      </w:r>
      <w:r w:rsidR="00FA5E48" w:rsidRPr="00424CC2">
        <w:rPr>
          <w:rFonts w:ascii="Arial" w:hAnsi="Arial" w:cs="Arial"/>
        </w:rPr>
        <w:t xml:space="preserve"> </w:t>
      </w:r>
      <w:r w:rsidR="0012613B" w:rsidRPr="00424CC2">
        <w:rPr>
          <w:rFonts w:ascii="Arial" w:hAnsi="Arial" w:cs="Arial"/>
        </w:rPr>
        <w:t>incinerators</w:t>
      </w:r>
      <w:r w:rsidR="00FA5E48" w:rsidRPr="00424CC2">
        <w:rPr>
          <w:rFonts w:ascii="Arial" w:hAnsi="Arial" w:cs="Arial"/>
        </w:rPr>
        <w:t xml:space="preserve"> </w:t>
      </w:r>
      <w:r w:rsidR="001D047E" w:rsidRPr="00424CC2">
        <w:rPr>
          <w:rFonts w:ascii="Arial" w:hAnsi="Arial" w:cs="Arial"/>
        </w:rPr>
        <w:t xml:space="preserve">should be </w:t>
      </w:r>
      <w:r w:rsidR="001D047E" w:rsidRPr="00D80877">
        <w:rPr>
          <w:rFonts w:ascii="Arial" w:hAnsi="Arial" w:cs="Arial"/>
          <w:b/>
        </w:rPr>
        <w:t>prioritised for early closure</w:t>
      </w:r>
      <w:r w:rsidR="00D80877">
        <w:rPr>
          <w:rFonts w:ascii="Arial" w:hAnsi="Arial" w:cs="Arial"/>
        </w:rPr>
        <w:t xml:space="preserve"> </w:t>
      </w:r>
      <w:r>
        <w:rPr>
          <w:rFonts w:ascii="Arial" w:hAnsi="Arial" w:cs="Arial"/>
        </w:rPr>
        <w:t>in a phase out scheme</w:t>
      </w:r>
      <w:r w:rsidR="00B549F5">
        <w:rPr>
          <w:rFonts w:ascii="Arial" w:hAnsi="Arial" w:cs="Arial"/>
        </w:rPr>
        <w:t xml:space="preserve"> co-ordinated by the Scottish Government</w:t>
      </w:r>
      <w:r w:rsidR="00D80877">
        <w:rPr>
          <w:rFonts w:ascii="Arial" w:hAnsi="Arial" w:cs="Arial"/>
        </w:rPr>
        <w:t>.</w:t>
      </w:r>
      <w:r w:rsidR="00040C8F">
        <w:rPr>
          <w:rFonts w:ascii="Arial" w:hAnsi="Arial" w:cs="Arial"/>
        </w:rPr>
        <w:t xml:space="preserve"> </w:t>
      </w:r>
    </w:p>
    <w:p w14:paraId="416A0485" w14:textId="341FEA86" w:rsidR="001D047E" w:rsidRPr="00040C8F" w:rsidRDefault="00040C8F" w:rsidP="00040C8F">
      <w:pPr>
        <w:pStyle w:val="ListParagraph"/>
        <w:numPr>
          <w:ilvl w:val="0"/>
          <w:numId w:val="5"/>
        </w:numPr>
        <w:rPr>
          <w:rFonts w:ascii="Arial" w:hAnsi="Arial" w:cs="Arial"/>
          <w:i/>
        </w:rPr>
      </w:pPr>
      <w:r w:rsidRPr="00040C8F">
        <w:rPr>
          <w:rFonts w:ascii="Arial" w:hAnsi="Arial" w:cs="Arial"/>
          <w:b/>
        </w:rPr>
        <w:t>Waste workers and their Unions</w:t>
      </w:r>
      <w:r w:rsidRPr="00040C8F">
        <w:rPr>
          <w:rFonts w:ascii="Arial" w:hAnsi="Arial" w:cs="Arial"/>
        </w:rPr>
        <w:t xml:space="preserve"> </w:t>
      </w:r>
      <w:r>
        <w:rPr>
          <w:rFonts w:ascii="Arial" w:hAnsi="Arial" w:cs="Arial"/>
        </w:rPr>
        <w:t>should be</w:t>
      </w:r>
      <w:r w:rsidRPr="00040C8F">
        <w:rPr>
          <w:rFonts w:ascii="Arial" w:hAnsi="Arial" w:cs="Arial"/>
        </w:rPr>
        <w:t xml:space="preserve"> involved in shaping transformational changes to the sector.</w:t>
      </w:r>
    </w:p>
    <w:p w14:paraId="1B3C47C6" w14:textId="77777777" w:rsidR="00027C6E" w:rsidRPr="00424CC2" w:rsidRDefault="00AE3A6C" w:rsidP="00027C6E">
      <w:pPr>
        <w:pStyle w:val="ListParagraph"/>
        <w:numPr>
          <w:ilvl w:val="0"/>
          <w:numId w:val="5"/>
        </w:numPr>
        <w:rPr>
          <w:rFonts w:ascii="Arial" w:hAnsi="Arial" w:cs="Arial"/>
        </w:rPr>
      </w:pPr>
      <w:r w:rsidRPr="00424CC2">
        <w:rPr>
          <w:rFonts w:ascii="Arial" w:hAnsi="Arial" w:cs="Arial"/>
        </w:rPr>
        <w:t>Emissions</w:t>
      </w:r>
      <w:r w:rsidR="004A1783" w:rsidRPr="00424CC2">
        <w:rPr>
          <w:rFonts w:ascii="Arial" w:hAnsi="Arial" w:cs="Arial"/>
        </w:rPr>
        <w:t xml:space="preserve"> from </w:t>
      </w:r>
      <w:r w:rsidRPr="00424CC2">
        <w:rPr>
          <w:rFonts w:ascii="Arial" w:hAnsi="Arial" w:cs="Arial"/>
        </w:rPr>
        <w:t>operational</w:t>
      </w:r>
      <w:r w:rsidR="004A1783" w:rsidRPr="00424CC2">
        <w:rPr>
          <w:rFonts w:ascii="Arial" w:hAnsi="Arial" w:cs="Arial"/>
        </w:rPr>
        <w:t xml:space="preserve"> plants</w:t>
      </w:r>
      <w:r w:rsidR="00A8677B" w:rsidRPr="00424CC2">
        <w:rPr>
          <w:rFonts w:ascii="Arial" w:hAnsi="Arial" w:cs="Arial"/>
        </w:rPr>
        <w:t xml:space="preserve"> </w:t>
      </w:r>
      <w:r w:rsidRPr="00424CC2">
        <w:rPr>
          <w:rFonts w:ascii="Arial" w:hAnsi="Arial" w:cs="Arial"/>
        </w:rPr>
        <w:t>should be reduced</w:t>
      </w:r>
      <w:r w:rsidR="00130124">
        <w:rPr>
          <w:rFonts w:ascii="Arial" w:hAnsi="Arial" w:cs="Arial"/>
        </w:rPr>
        <w:t xml:space="preserve"> by </w:t>
      </w:r>
      <w:r w:rsidR="004A1783" w:rsidRPr="00D80877">
        <w:rPr>
          <w:rFonts w:ascii="Arial" w:hAnsi="Arial" w:cs="Arial"/>
          <w:b/>
        </w:rPr>
        <w:t>ban</w:t>
      </w:r>
      <w:r w:rsidR="00A8677B" w:rsidRPr="00D80877">
        <w:rPr>
          <w:rFonts w:ascii="Arial" w:hAnsi="Arial" w:cs="Arial"/>
          <w:b/>
        </w:rPr>
        <w:t>ning the</w:t>
      </w:r>
      <w:r w:rsidR="004A1783" w:rsidRPr="00D80877">
        <w:rPr>
          <w:rFonts w:ascii="Arial" w:hAnsi="Arial" w:cs="Arial"/>
          <w:b/>
        </w:rPr>
        <w:t xml:space="preserve"> burning </w:t>
      </w:r>
      <w:r w:rsidR="00A8677B" w:rsidRPr="00D80877">
        <w:rPr>
          <w:rFonts w:ascii="Arial" w:hAnsi="Arial" w:cs="Arial"/>
          <w:b/>
        </w:rPr>
        <w:t xml:space="preserve">of </w:t>
      </w:r>
      <w:r w:rsidR="004A1783" w:rsidRPr="00D80877">
        <w:rPr>
          <w:rFonts w:ascii="Arial" w:hAnsi="Arial" w:cs="Arial"/>
          <w:b/>
        </w:rPr>
        <w:t>plastics</w:t>
      </w:r>
      <w:r w:rsidR="00130124" w:rsidRPr="00D80877">
        <w:rPr>
          <w:rFonts w:ascii="Arial" w:hAnsi="Arial" w:cs="Arial"/>
          <w:b/>
        </w:rPr>
        <w:t xml:space="preserve"> immediately and permanently</w:t>
      </w:r>
      <w:r w:rsidR="004A1783" w:rsidRPr="00424CC2">
        <w:rPr>
          <w:rFonts w:ascii="Arial" w:hAnsi="Arial" w:cs="Arial"/>
        </w:rPr>
        <w:t>.</w:t>
      </w:r>
      <w:r w:rsidR="00A8677B" w:rsidRPr="00424CC2">
        <w:rPr>
          <w:rFonts w:ascii="Arial" w:hAnsi="Arial" w:cs="Arial"/>
        </w:rPr>
        <w:t xml:space="preserve"> </w:t>
      </w:r>
    </w:p>
    <w:p w14:paraId="729A2828" w14:textId="72B17364" w:rsidR="00A8677B" w:rsidRPr="00424CC2" w:rsidRDefault="00306B27" w:rsidP="00027C6E">
      <w:pPr>
        <w:pStyle w:val="ListParagraph"/>
        <w:numPr>
          <w:ilvl w:val="0"/>
          <w:numId w:val="5"/>
        </w:numPr>
        <w:rPr>
          <w:rFonts w:ascii="Arial" w:hAnsi="Arial" w:cs="Arial"/>
        </w:rPr>
      </w:pPr>
      <w:r>
        <w:rPr>
          <w:rFonts w:ascii="Arial" w:hAnsi="Arial" w:cs="Arial"/>
        </w:rPr>
        <w:t xml:space="preserve">CHP is an unnecessary cost and risk of lock-in for plants which will be phased out. </w:t>
      </w:r>
      <w:r w:rsidR="00210609">
        <w:rPr>
          <w:rFonts w:ascii="Arial" w:hAnsi="Arial" w:cs="Arial"/>
        </w:rPr>
        <w:t>A</w:t>
      </w:r>
      <w:r w:rsidR="00B549F5">
        <w:rPr>
          <w:rFonts w:ascii="Arial" w:hAnsi="Arial" w:cs="Arial"/>
        </w:rPr>
        <w:t>ny</w:t>
      </w:r>
      <w:r w:rsidR="009C2384">
        <w:rPr>
          <w:rFonts w:ascii="Arial" w:hAnsi="Arial" w:cs="Arial"/>
        </w:rPr>
        <w:t xml:space="preserve"> incinerators</w:t>
      </w:r>
      <w:r w:rsidR="00210609">
        <w:rPr>
          <w:rFonts w:ascii="Arial" w:hAnsi="Arial" w:cs="Arial"/>
        </w:rPr>
        <w:t xml:space="preserve"> which </w:t>
      </w:r>
      <w:r w:rsidR="00907532">
        <w:rPr>
          <w:rFonts w:ascii="Arial" w:hAnsi="Arial" w:cs="Arial"/>
        </w:rPr>
        <w:t xml:space="preserve">it is necessary to </w:t>
      </w:r>
      <w:r w:rsidR="009C2384">
        <w:rPr>
          <w:rFonts w:ascii="Arial" w:hAnsi="Arial" w:cs="Arial"/>
        </w:rPr>
        <w:t>operat</w:t>
      </w:r>
      <w:r w:rsidR="00210609">
        <w:rPr>
          <w:rFonts w:ascii="Arial" w:hAnsi="Arial" w:cs="Arial"/>
        </w:rPr>
        <w:t>e</w:t>
      </w:r>
      <w:r w:rsidR="009C2384">
        <w:rPr>
          <w:rFonts w:ascii="Arial" w:hAnsi="Arial" w:cs="Arial"/>
        </w:rPr>
        <w:t xml:space="preserve"> </w:t>
      </w:r>
      <w:r w:rsidR="00210609">
        <w:rPr>
          <w:rFonts w:ascii="Arial" w:hAnsi="Arial" w:cs="Arial"/>
        </w:rPr>
        <w:t>after 20</w:t>
      </w:r>
      <w:r w:rsidR="00E000D8">
        <w:rPr>
          <w:rFonts w:ascii="Arial" w:hAnsi="Arial" w:cs="Arial"/>
        </w:rPr>
        <w:t>30</w:t>
      </w:r>
      <w:r w:rsidR="00210609">
        <w:rPr>
          <w:rFonts w:ascii="Arial" w:hAnsi="Arial" w:cs="Arial"/>
        </w:rPr>
        <w:t xml:space="preserve"> </w:t>
      </w:r>
      <w:r w:rsidR="009C2384">
        <w:rPr>
          <w:rFonts w:ascii="Arial" w:hAnsi="Arial" w:cs="Arial"/>
        </w:rPr>
        <w:t>should</w:t>
      </w:r>
      <w:r w:rsidR="00907532">
        <w:rPr>
          <w:rFonts w:ascii="Arial" w:hAnsi="Arial" w:cs="Arial"/>
        </w:rPr>
        <w:t>, however,</w:t>
      </w:r>
      <w:r w:rsidR="009C2384">
        <w:rPr>
          <w:rFonts w:ascii="Arial" w:hAnsi="Arial" w:cs="Arial"/>
        </w:rPr>
        <w:t xml:space="preserve"> be CHP. Public financing of CHP for incinerators should </w:t>
      </w:r>
      <w:r w:rsidR="00907532">
        <w:rPr>
          <w:rFonts w:ascii="Arial" w:hAnsi="Arial" w:cs="Arial"/>
        </w:rPr>
        <w:t>not</w:t>
      </w:r>
      <w:r w:rsidR="009C2384">
        <w:rPr>
          <w:rFonts w:ascii="Arial" w:hAnsi="Arial" w:cs="Arial"/>
        </w:rPr>
        <w:t xml:space="preserve"> be permissible for </w:t>
      </w:r>
      <w:r>
        <w:rPr>
          <w:rFonts w:ascii="Arial" w:hAnsi="Arial" w:cs="Arial"/>
        </w:rPr>
        <w:t xml:space="preserve">plants </w:t>
      </w:r>
      <w:r w:rsidR="00907532">
        <w:rPr>
          <w:rFonts w:ascii="Arial" w:hAnsi="Arial" w:cs="Arial"/>
        </w:rPr>
        <w:t>identified for</w:t>
      </w:r>
      <w:r w:rsidR="00B549F5">
        <w:rPr>
          <w:rFonts w:ascii="Arial" w:hAnsi="Arial" w:cs="Arial"/>
        </w:rPr>
        <w:t xml:space="preserve"> phased out</w:t>
      </w:r>
      <w:r>
        <w:rPr>
          <w:rFonts w:ascii="Arial" w:hAnsi="Arial" w:cs="Arial"/>
        </w:rPr>
        <w:t>.</w:t>
      </w:r>
      <w:r w:rsidR="009C2384">
        <w:rPr>
          <w:rFonts w:ascii="Arial" w:hAnsi="Arial" w:cs="Arial"/>
        </w:rPr>
        <w:t xml:space="preserve"> </w:t>
      </w:r>
    </w:p>
    <w:p w14:paraId="0FDA167D" w14:textId="3233D996" w:rsidR="00040C8F" w:rsidRPr="00040C8F" w:rsidRDefault="00027C6E" w:rsidP="00F1624F">
      <w:pPr>
        <w:pStyle w:val="ListParagraph"/>
        <w:numPr>
          <w:ilvl w:val="0"/>
          <w:numId w:val="5"/>
        </w:numPr>
        <w:rPr>
          <w:rFonts w:ascii="Arial" w:eastAsia="Times New Roman" w:hAnsi="Arial" w:cs="Arial"/>
          <w:b/>
          <w:bCs/>
          <w:szCs w:val="22"/>
        </w:rPr>
      </w:pPr>
      <w:r w:rsidRPr="00130124">
        <w:rPr>
          <w:rFonts w:ascii="Arial" w:hAnsi="Arial" w:cs="Arial"/>
          <w:b/>
        </w:rPr>
        <w:t>CCS</w:t>
      </w:r>
      <w:r w:rsidR="00A8677B" w:rsidRPr="00130124">
        <w:rPr>
          <w:rFonts w:ascii="Arial" w:hAnsi="Arial" w:cs="Arial"/>
          <w:b/>
        </w:rPr>
        <w:t xml:space="preserve"> as an abatement solution for incineration</w:t>
      </w:r>
      <w:r w:rsidR="00F1624F" w:rsidRPr="00130124">
        <w:rPr>
          <w:rFonts w:ascii="Arial" w:hAnsi="Arial" w:cs="Arial"/>
          <w:b/>
        </w:rPr>
        <w:t xml:space="preserve"> must be abandoned</w:t>
      </w:r>
      <w:r w:rsidR="00A8677B" w:rsidRPr="00130124">
        <w:rPr>
          <w:rFonts w:ascii="Arial" w:hAnsi="Arial" w:cs="Arial"/>
          <w:b/>
        </w:rPr>
        <w:t xml:space="preserve">. </w:t>
      </w:r>
      <w:r w:rsidR="00A8677B" w:rsidRPr="00424CC2">
        <w:rPr>
          <w:rFonts w:ascii="Arial" w:hAnsi="Arial" w:cs="Arial"/>
        </w:rPr>
        <w:t>CCS would lock Scotland</w:t>
      </w:r>
      <w:r w:rsidR="00BC184C" w:rsidRPr="00424CC2">
        <w:rPr>
          <w:rFonts w:ascii="Arial" w:hAnsi="Arial" w:cs="Arial"/>
        </w:rPr>
        <w:t xml:space="preserve"> in to unnecessary </w:t>
      </w:r>
      <w:r w:rsidR="00A8677B" w:rsidRPr="00424CC2">
        <w:rPr>
          <w:rFonts w:ascii="Arial" w:hAnsi="Arial" w:cs="Arial"/>
        </w:rPr>
        <w:t xml:space="preserve">levels of </w:t>
      </w:r>
      <w:r w:rsidR="00BC184C" w:rsidRPr="00424CC2">
        <w:rPr>
          <w:rFonts w:ascii="Arial" w:hAnsi="Arial" w:cs="Arial"/>
        </w:rPr>
        <w:t>incineration.</w:t>
      </w:r>
      <w:r w:rsidR="00A8677B" w:rsidRPr="00424CC2">
        <w:rPr>
          <w:rFonts w:ascii="Arial" w:hAnsi="Arial" w:cs="Arial"/>
        </w:rPr>
        <w:t xml:space="preserve"> It is unproven, expensive, slow to install and poorly adapted for incineration.</w:t>
      </w:r>
      <w:r w:rsidR="00BC184C" w:rsidRPr="00424CC2">
        <w:rPr>
          <w:rFonts w:ascii="Arial" w:hAnsi="Arial" w:cs="Arial"/>
        </w:rPr>
        <w:t xml:space="preserve"> </w:t>
      </w:r>
    </w:p>
    <w:p w14:paraId="00B457A1" w14:textId="77777777" w:rsidR="00040C8F" w:rsidRDefault="00040C8F" w:rsidP="00F1624F">
      <w:pPr>
        <w:rPr>
          <w:rFonts w:ascii="Arial" w:hAnsi="Arial" w:cs="Arial"/>
        </w:rPr>
      </w:pPr>
    </w:p>
    <w:p w14:paraId="7517E98C" w14:textId="633C0008" w:rsidR="00F1624F" w:rsidRPr="00F1624F" w:rsidRDefault="00F1624F" w:rsidP="00F1624F">
      <w:pPr>
        <w:rPr>
          <w:rFonts w:ascii="Arial" w:hAnsi="Arial" w:cs="Arial"/>
        </w:rPr>
      </w:pPr>
      <w:r w:rsidRPr="00F1624F">
        <w:rPr>
          <w:rFonts w:ascii="Arial" w:hAnsi="Arial" w:cs="Arial"/>
        </w:rPr>
        <w:t>In February 2022, Friends of the Earth Scotland responded to the Scottish Government’s first call for evidence as part of the original review on incineration</w:t>
      </w:r>
      <w:r w:rsidRPr="00424CC2">
        <w:rPr>
          <w:rStyle w:val="FootnoteReference"/>
          <w:rFonts w:ascii="Arial" w:hAnsi="Arial" w:cs="Arial"/>
        </w:rPr>
        <w:footnoteReference w:id="1"/>
      </w:r>
      <w:r w:rsidRPr="00F1624F">
        <w:rPr>
          <w:rFonts w:ascii="Arial" w:hAnsi="Arial" w:cs="Arial"/>
        </w:rPr>
        <w:t xml:space="preserve">. This </w:t>
      </w:r>
      <w:r w:rsidR="00130124">
        <w:rPr>
          <w:rFonts w:ascii="Arial" w:hAnsi="Arial" w:cs="Arial"/>
        </w:rPr>
        <w:t>document</w:t>
      </w:r>
      <w:r w:rsidRPr="00F1624F">
        <w:rPr>
          <w:rFonts w:ascii="Arial" w:hAnsi="Arial" w:cs="Arial"/>
        </w:rPr>
        <w:t xml:space="preserve"> builds on our earlier response with additional information and recommendations relating to the decarbonisation of incineration</w:t>
      </w:r>
      <w:r w:rsidR="00130124">
        <w:rPr>
          <w:rFonts w:ascii="Arial" w:hAnsi="Arial" w:cs="Arial"/>
        </w:rPr>
        <w:t xml:space="preserve"> of waste</w:t>
      </w:r>
      <w:r w:rsidRPr="00F1624F">
        <w:rPr>
          <w:rFonts w:ascii="Arial" w:hAnsi="Arial" w:cs="Arial"/>
        </w:rPr>
        <w:t>.</w:t>
      </w:r>
    </w:p>
    <w:p w14:paraId="31678889" w14:textId="77777777" w:rsidR="0091094A" w:rsidRPr="00F1624F" w:rsidRDefault="0091094A" w:rsidP="00F1624F">
      <w:pPr>
        <w:rPr>
          <w:rFonts w:ascii="Arial" w:eastAsia="Times New Roman" w:hAnsi="Arial" w:cs="Arial"/>
          <w:b/>
          <w:bCs/>
          <w:szCs w:val="22"/>
        </w:rPr>
      </w:pPr>
    </w:p>
    <w:p w14:paraId="6BEDC02A" w14:textId="10D01E6C" w:rsidR="00D80877" w:rsidRDefault="00D80877">
      <w:pPr>
        <w:rPr>
          <w:rFonts w:ascii="Arial" w:eastAsia="Times New Roman" w:hAnsi="Arial" w:cs="Arial"/>
          <w:b/>
          <w:bCs/>
          <w:szCs w:val="22"/>
        </w:rPr>
      </w:pPr>
    </w:p>
    <w:p w14:paraId="1AF207A4" w14:textId="77777777" w:rsidR="0091094A" w:rsidRPr="00424CC2" w:rsidRDefault="0091094A" w:rsidP="0091094A">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32"/>
        </w:rPr>
      </w:pPr>
      <w:r w:rsidRPr="00424CC2">
        <w:rPr>
          <w:rFonts w:ascii="Arial" w:eastAsia="Times New Roman" w:hAnsi="Arial" w:cs="Arial"/>
          <w:b/>
          <w:bCs/>
          <w:sz w:val="28"/>
          <w:szCs w:val="22"/>
        </w:rPr>
        <w:t xml:space="preserve">About Friends of the Earth Scotland </w:t>
      </w:r>
    </w:p>
    <w:p w14:paraId="521BE622" w14:textId="77777777" w:rsidR="0091094A" w:rsidRPr="00424CC2" w:rsidRDefault="0091094A" w:rsidP="0091094A">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Cs w:val="22"/>
        </w:rPr>
      </w:pPr>
      <w:r w:rsidRPr="00424CC2">
        <w:rPr>
          <w:rFonts w:ascii="Arial" w:eastAsia="Times New Roman" w:hAnsi="Arial" w:cs="Arial"/>
          <w:szCs w:val="22"/>
        </w:rPr>
        <w:t xml:space="preserve">Friends of the Earth Scotland exists to campaign, with partners here and across the globe, for a just transition to a sustainable society. We work in Scotland for socially just solutions to environmental problems and to create a green economy; we campaign to end the degradation of our environment and to create a society which cherishes and protects the natural world on which we depend; we think globally and act locally, enabling people to take individual and collective action. </w:t>
      </w:r>
    </w:p>
    <w:p w14:paraId="1358921A" w14:textId="77777777" w:rsidR="0091094A" w:rsidRPr="00424CC2" w:rsidRDefault="0091094A" w:rsidP="0091094A">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Cs w:val="22"/>
        </w:rPr>
      </w:pPr>
      <w:r w:rsidRPr="00424CC2">
        <w:rPr>
          <w:rFonts w:ascii="Arial" w:eastAsia="Times New Roman" w:hAnsi="Arial" w:cs="Arial"/>
          <w:szCs w:val="22"/>
        </w:rPr>
        <w:t xml:space="preserve">We are part of Friends of the Earth International - the world's largest grassroots environmental network, uniting 75 national member groups, over 2 million members and 5,000 local activist groups around the world. We are an independent Scottish charity with a network of thousands of supporters and active local groups across Scotland. Friends of the Earth Scotland's vision is of a world where everyone can enjoy a healthy environment without exceeding their fair share of the planet’s resources, now and in the future. </w:t>
      </w:r>
    </w:p>
    <w:p w14:paraId="47E9AA90" w14:textId="77777777" w:rsidR="0091094A" w:rsidRPr="00424CC2" w:rsidRDefault="0091094A" w:rsidP="0091094A">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28"/>
        </w:rPr>
      </w:pPr>
    </w:p>
    <w:p w14:paraId="6A413C36" w14:textId="77777777" w:rsidR="00EB765C" w:rsidRPr="00424CC2" w:rsidRDefault="0091094A" w:rsidP="0091094A">
      <w:pPr>
        <w:pStyle w:val="Heading1"/>
        <w:rPr>
          <w:rFonts w:eastAsia="Times New Roman" w:cs="Arial"/>
        </w:rPr>
      </w:pPr>
      <w:r w:rsidRPr="00424CC2">
        <w:rPr>
          <w:rFonts w:eastAsia="Times New Roman" w:cs="Arial"/>
        </w:rPr>
        <w:br w:type="page"/>
      </w:r>
    </w:p>
    <w:sdt>
      <w:sdtPr>
        <w:rPr>
          <w:rFonts w:ascii="Arial" w:eastAsiaTheme="minorHAnsi" w:hAnsi="Arial" w:cs="Arial"/>
          <w:b w:val="0"/>
          <w:bCs w:val="0"/>
          <w:color w:val="auto"/>
          <w:sz w:val="24"/>
          <w:szCs w:val="24"/>
          <w:lang w:val="en-GB"/>
        </w:rPr>
        <w:id w:val="-620294585"/>
        <w:docPartObj>
          <w:docPartGallery w:val="Table of Contents"/>
          <w:docPartUnique/>
        </w:docPartObj>
      </w:sdtPr>
      <w:sdtEndPr>
        <w:rPr>
          <w:noProof/>
          <w:color w:val="000000" w:themeColor="text1"/>
        </w:rPr>
      </w:sdtEndPr>
      <w:sdtContent>
        <w:p w14:paraId="63AFE504" w14:textId="77777777" w:rsidR="00EB765C" w:rsidRPr="0063130C" w:rsidRDefault="00EB765C">
          <w:pPr>
            <w:pStyle w:val="TOCHeading"/>
            <w:rPr>
              <w:rFonts w:ascii="Arial" w:hAnsi="Arial" w:cs="Arial"/>
              <w:color w:val="000000" w:themeColor="text1"/>
              <w:sz w:val="24"/>
              <w:szCs w:val="24"/>
            </w:rPr>
          </w:pPr>
          <w:r w:rsidRPr="0063130C">
            <w:rPr>
              <w:rFonts w:ascii="Arial" w:hAnsi="Arial" w:cs="Arial"/>
              <w:color w:val="000000" w:themeColor="text1"/>
              <w:sz w:val="24"/>
              <w:szCs w:val="24"/>
            </w:rPr>
            <w:t>Table of Contents</w:t>
          </w:r>
        </w:p>
        <w:p w14:paraId="3AF49E6E" w14:textId="0E8B06EF" w:rsidR="0063130C" w:rsidRPr="0063130C" w:rsidRDefault="00EB765C">
          <w:pPr>
            <w:pStyle w:val="TOC1"/>
            <w:rPr>
              <w:rFonts w:ascii="Arial" w:eastAsiaTheme="minorEastAsia" w:hAnsi="Arial" w:cs="Arial"/>
              <w:b w:val="0"/>
              <w:bCs w:val="0"/>
              <w:i w:val="0"/>
              <w:iCs w:val="0"/>
              <w:noProof/>
            </w:rPr>
          </w:pPr>
          <w:r w:rsidRPr="0063130C">
            <w:rPr>
              <w:rFonts w:ascii="Arial" w:hAnsi="Arial" w:cs="Arial"/>
              <w:b w:val="0"/>
              <w:i w:val="0"/>
              <w:color w:val="000000" w:themeColor="text1"/>
            </w:rPr>
            <w:fldChar w:fldCharType="begin"/>
          </w:r>
          <w:r w:rsidRPr="0063130C">
            <w:rPr>
              <w:rFonts w:ascii="Arial" w:hAnsi="Arial" w:cs="Arial"/>
              <w:b w:val="0"/>
              <w:i w:val="0"/>
              <w:color w:val="000000" w:themeColor="text1"/>
            </w:rPr>
            <w:instrText xml:space="preserve"> TOC \o "1-3" \h \z \u </w:instrText>
          </w:r>
          <w:r w:rsidRPr="0063130C">
            <w:rPr>
              <w:rFonts w:ascii="Arial" w:hAnsi="Arial" w:cs="Arial"/>
              <w:b w:val="0"/>
              <w:i w:val="0"/>
              <w:color w:val="000000" w:themeColor="text1"/>
            </w:rPr>
            <w:fldChar w:fldCharType="separate"/>
          </w:r>
          <w:hyperlink w:anchor="_Toc115343393" w:history="1">
            <w:r w:rsidR="0063130C" w:rsidRPr="0063130C">
              <w:rPr>
                <w:rStyle w:val="Hyperlink"/>
                <w:rFonts w:ascii="Arial" w:eastAsia="Times New Roman" w:hAnsi="Arial" w:cs="Arial"/>
                <w:i w:val="0"/>
                <w:noProof/>
              </w:rPr>
              <w:t>Executive Summary</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_Toc115343393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w:t>
            </w:r>
            <w:r w:rsidR="0063130C" w:rsidRPr="0063130C">
              <w:rPr>
                <w:rFonts w:ascii="Arial" w:hAnsi="Arial" w:cs="Arial"/>
                <w:i w:val="0"/>
                <w:noProof/>
                <w:webHidden/>
              </w:rPr>
              <w:fldChar w:fldCharType="end"/>
            </w:r>
          </w:hyperlink>
        </w:p>
        <w:p w14:paraId="556EA4DF" w14:textId="1320205A" w:rsidR="0063130C" w:rsidRPr="0063130C" w:rsidRDefault="0065101A">
          <w:pPr>
            <w:pStyle w:val="TOC1"/>
            <w:rPr>
              <w:rFonts w:ascii="Arial" w:eastAsiaTheme="minorEastAsia" w:hAnsi="Arial" w:cs="Arial"/>
              <w:b w:val="0"/>
              <w:bCs w:val="0"/>
              <w:i w:val="0"/>
              <w:iCs w:val="0"/>
              <w:noProof/>
            </w:rPr>
          </w:pPr>
          <w:hyperlink w:anchor="_Toc115343394" w:history="1">
            <w:r w:rsidR="0063130C" w:rsidRPr="0063130C">
              <w:rPr>
                <w:rStyle w:val="Hyperlink"/>
                <w:rFonts w:ascii="Arial" w:eastAsia="Times New Roman" w:hAnsi="Arial" w:cs="Arial"/>
                <w:i w:val="0"/>
                <w:noProof/>
              </w:rPr>
              <w:t>Details response and recommendations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_Toc115343394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4</w:t>
            </w:r>
            <w:r w:rsidR="0063130C" w:rsidRPr="0063130C">
              <w:rPr>
                <w:rFonts w:ascii="Arial" w:hAnsi="Arial" w:cs="Arial"/>
                <w:i w:val="0"/>
                <w:noProof/>
                <w:webHidden/>
              </w:rPr>
              <w:fldChar w:fldCharType="end"/>
            </w:r>
          </w:hyperlink>
        </w:p>
        <w:p w14:paraId="10B7E0B9" w14:textId="298D8E32" w:rsidR="0063130C" w:rsidRPr="0063130C" w:rsidRDefault="0065101A">
          <w:pPr>
            <w:pStyle w:val="TOC1"/>
            <w:rPr>
              <w:rFonts w:ascii="Arial" w:eastAsiaTheme="minorEastAsia" w:hAnsi="Arial" w:cs="Arial"/>
              <w:b w:val="0"/>
              <w:bCs w:val="0"/>
              <w:i w:val="0"/>
              <w:iCs w:val="0"/>
              <w:noProof/>
            </w:rPr>
          </w:pPr>
          <w:hyperlink w:anchor="_Toc115343395" w:history="1">
            <w:r w:rsidR="0063130C" w:rsidRPr="0063130C">
              <w:rPr>
                <w:rStyle w:val="Hyperlink"/>
                <w:rFonts w:ascii="Arial" w:hAnsi="Arial" w:cs="Arial"/>
                <w:i w:val="0"/>
                <w:noProof/>
              </w:rPr>
              <w:t>1. Concerns about the scope of the study and supporting analysis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_Toc115343395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4</w:t>
            </w:r>
            <w:r w:rsidR="0063130C" w:rsidRPr="0063130C">
              <w:rPr>
                <w:rFonts w:ascii="Arial" w:hAnsi="Arial" w:cs="Arial"/>
                <w:i w:val="0"/>
                <w:noProof/>
                <w:webHidden/>
              </w:rPr>
              <w:fldChar w:fldCharType="end"/>
            </w:r>
          </w:hyperlink>
        </w:p>
        <w:p w14:paraId="7934C749" w14:textId="087C6102"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396" w:history="1">
            <w:r w:rsidR="0063130C" w:rsidRPr="0063130C">
              <w:rPr>
                <w:rStyle w:val="Hyperlink"/>
                <w:rFonts w:ascii="Arial" w:hAnsi="Arial" w:cs="Arial"/>
                <w:b w:val="0"/>
                <w:noProof/>
              </w:rPr>
              <w:t>1.1 Concerns about the 2035 cut-off</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_Toc115343396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4</w:t>
            </w:r>
            <w:r w:rsidR="0063130C" w:rsidRPr="0063130C">
              <w:rPr>
                <w:rFonts w:ascii="Arial" w:hAnsi="Arial" w:cs="Arial"/>
                <w:b w:val="0"/>
                <w:noProof/>
                <w:webHidden/>
              </w:rPr>
              <w:fldChar w:fldCharType="end"/>
            </w:r>
          </w:hyperlink>
        </w:p>
        <w:p w14:paraId="78CE308E" w14:textId="79040D42"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397" w:history="1">
            <w:r w:rsidR="0063130C" w:rsidRPr="0063130C">
              <w:rPr>
                <w:rStyle w:val="Hyperlink"/>
                <w:rFonts w:ascii="Arial" w:hAnsi="Arial" w:cs="Arial"/>
                <w:b w:val="0"/>
                <w:noProof/>
              </w:rPr>
              <w:t>1.2 Future grid decarbonisation scenarios are not considered extensively</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_Toc115343397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5</w:t>
            </w:r>
            <w:r w:rsidR="0063130C" w:rsidRPr="0063130C">
              <w:rPr>
                <w:rFonts w:ascii="Arial" w:hAnsi="Arial" w:cs="Arial"/>
                <w:b w:val="0"/>
                <w:noProof/>
                <w:webHidden/>
              </w:rPr>
              <w:fldChar w:fldCharType="end"/>
            </w:r>
          </w:hyperlink>
        </w:p>
        <w:p w14:paraId="1929AD4D" w14:textId="26A9B4C3"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398" w:history="1">
            <w:r w:rsidR="0063130C" w:rsidRPr="0063130C">
              <w:rPr>
                <w:rStyle w:val="Hyperlink"/>
                <w:rFonts w:ascii="Arial" w:hAnsi="Arial" w:cs="Arial"/>
                <w:b w:val="0"/>
                <w:noProof/>
              </w:rPr>
              <w:t>1.3 Timings of the Decarbonisation Study</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_Toc115343398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6</w:t>
            </w:r>
            <w:r w:rsidR="0063130C" w:rsidRPr="0063130C">
              <w:rPr>
                <w:rFonts w:ascii="Arial" w:hAnsi="Arial" w:cs="Arial"/>
                <w:b w:val="0"/>
                <w:noProof/>
                <w:webHidden/>
              </w:rPr>
              <w:fldChar w:fldCharType="end"/>
            </w:r>
          </w:hyperlink>
        </w:p>
        <w:p w14:paraId="6EEA243C" w14:textId="5727651D" w:rsidR="0063130C" w:rsidRPr="0063130C" w:rsidRDefault="0065101A">
          <w:pPr>
            <w:pStyle w:val="TOC1"/>
            <w:rPr>
              <w:rFonts w:ascii="Arial" w:eastAsiaTheme="minorEastAsia" w:hAnsi="Arial" w:cs="Arial"/>
              <w:b w:val="0"/>
              <w:bCs w:val="0"/>
              <w:i w:val="0"/>
              <w:iCs w:val="0"/>
              <w:noProof/>
            </w:rPr>
          </w:pPr>
          <w:hyperlink w:anchor="_Toc115343399" w:history="1">
            <w:r w:rsidR="0063130C" w:rsidRPr="0063130C">
              <w:rPr>
                <w:rStyle w:val="Hyperlink"/>
                <w:rFonts w:ascii="Arial" w:hAnsi="Arial" w:cs="Arial"/>
                <w:i w:val="0"/>
                <w:noProof/>
              </w:rPr>
              <w:t>2. Incinerators jeopardise Scotland’s climate targets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_Toc115343399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6</w:t>
            </w:r>
            <w:r w:rsidR="0063130C" w:rsidRPr="0063130C">
              <w:rPr>
                <w:rFonts w:ascii="Arial" w:hAnsi="Arial" w:cs="Arial"/>
                <w:i w:val="0"/>
                <w:noProof/>
                <w:webHidden/>
              </w:rPr>
              <w:fldChar w:fldCharType="end"/>
            </w:r>
          </w:hyperlink>
        </w:p>
        <w:p w14:paraId="277CF3A8" w14:textId="029E1F39"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0" w:history="1">
            <w:r w:rsidR="0063130C" w:rsidRPr="0063130C">
              <w:rPr>
                <w:rStyle w:val="Hyperlink"/>
                <w:rFonts w:ascii="Arial" w:hAnsi="Arial" w:cs="Arial"/>
                <w:b w:val="0"/>
                <w:noProof/>
              </w:rPr>
              <w:t>2.1 The waste hierarchy requires updating</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_Toc115343400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7</w:t>
            </w:r>
            <w:r w:rsidR="0063130C" w:rsidRPr="0063130C">
              <w:rPr>
                <w:rFonts w:ascii="Arial" w:hAnsi="Arial" w:cs="Arial"/>
                <w:b w:val="0"/>
                <w:noProof/>
                <w:webHidden/>
              </w:rPr>
              <w:fldChar w:fldCharType="end"/>
            </w:r>
          </w:hyperlink>
        </w:p>
        <w:p w14:paraId="7F9C3032" w14:textId="67F31FD3"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1" w:history="1">
            <w:r w:rsidR="0063130C" w:rsidRPr="0063130C">
              <w:rPr>
                <w:rStyle w:val="Hyperlink"/>
                <w:rFonts w:ascii="Arial" w:hAnsi="Arial" w:cs="Arial"/>
                <w:b w:val="0"/>
                <w:noProof/>
              </w:rPr>
              <w:t>2.2 The dangers of lock-in</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_Toc115343401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8</w:t>
            </w:r>
            <w:r w:rsidR="0063130C" w:rsidRPr="0063130C">
              <w:rPr>
                <w:rFonts w:ascii="Arial" w:hAnsi="Arial" w:cs="Arial"/>
                <w:b w:val="0"/>
                <w:noProof/>
                <w:webHidden/>
              </w:rPr>
              <w:fldChar w:fldCharType="end"/>
            </w:r>
          </w:hyperlink>
        </w:p>
        <w:p w14:paraId="25F1E8E6" w14:textId="410DEFE6"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2" w:history="1">
            <w:r w:rsidR="0063130C" w:rsidRPr="0063130C">
              <w:rPr>
                <w:rStyle w:val="Hyperlink"/>
                <w:rFonts w:ascii="Arial" w:hAnsi="Arial" w:cs="Arial"/>
                <w:b w:val="0"/>
                <w:noProof/>
              </w:rPr>
              <w:t>2.3 Example of breaking lock in: Germany’s Coal Exit Law</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_Toc115343402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8</w:t>
            </w:r>
            <w:r w:rsidR="0063130C" w:rsidRPr="0063130C">
              <w:rPr>
                <w:rFonts w:ascii="Arial" w:hAnsi="Arial" w:cs="Arial"/>
                <w:b w:val="0"/>
                <w:noProof/>
                <w:webHidden/>
              </w:rPr>
              <w:fldChar w:fldCharType="end"/>
            </w:r>
          </w:hyperlink>
        </w:p>
        <w:p w14:paraId="4C808769" w14:textId="58B4E03F" w:rsidR="0063130C" w:rsidRPr="0063130C" w:rsidRDefault="0065101A">
          <w:pPr>
            <w:pStyle w:val="TOC1"/>
            <w:rPr>
              <w:rFonts w:ascii="Arial" w:eastAsiaTheme="minorEastAsia" w:hAnsi="Arial" w:cs="Arial"/>
              <w:b w:val="0"/>
              <w:bCs w:val="0"/>
              <w:i w:val="0"/>
              <w:iCs w:val="0"/>
              <w:noProof/>
            </w:rPr>
          </w:pPr>
          <w:hyperlink w:anchor="_Toc115343403" w:history="1">
            <w:r w:rsidR="0063130C" w:rsidRPr="0063130C">
              <w:rPr>
                <w:rStyle w:val="Hyperlink"/>
                <w:rFonts w:ascii="Arial" w:hAnsi="Arial" w:cs="Arial"/>
                <w:i w:val="0"/>
                <w:noProof/>
              </w:rPr>
              <w:t>3. Minimise the number of incinerators to be built</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_Toc115343403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10</w:t>
            </w:r>
            <w:r w:rsidR="0063130C" w:rsidRPr="0063130C">
              <w:rPr>
                <w:rFonts w:ascii="Arial" w:hAnsi="Arial" w:cs="Arial"/>
                <w:i w:val="0"/>
                <w:noProof/>
                <w:webHidden/>
              </w:rPr>
              <w:fldChar w:fldCharType="end"/>
            </w:r>
          </w:hyperlink>
        </w:p>
        <w:p w14:paraId="79D7A866" w14:textId="75ECED7B"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4" w:history="1">
            <w:r w:rsidR="0063130C" w:rsidRPr="0063130C">
              <w:rPr>
                <w:rStyle w:val="Hyperlink"/>
                <w:rFonts w:ascii="Arial" w:hAnsi="Arial" w:cs="Arial"/>
                <w:b w:val="0"/>
                <w:noProof/>
              </w:rPr>
              <w:t>3.1 The risk of over-capacity is greater than a capacity gap</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_Toc115343404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10</w:t>
            </w:r>
            <w:r w:rsidR="0063130C" w:rsidRPr="0063130C">
              <w:rPr>
                <w:rFonts w:ascii="Arial" w:hAnsi="Arial" w:cs="Arial"/>
                <w:b w:val="0"/>
                <w:noProof/>
                <w:webHidden/>
              </w:rPr>
              <w:fldChar w:fldCharType="end"/>
            </w:r>
          </w:hyperlink>
        </w:p>
        <w:p w14:paraId="6164486A" w14:textId="18A64530"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5" w:history="1">
            <w:r w:rsidR="0063130C" w:rsidRPr="0063130C">
              <w:rPr>
                <w:rStyle w:val="Hyperlink"/>
                <w:rFonts w:ascii="Arial" w:hAnsi="Arial" w:cs="Arial"/>
                <w:b w:val="0"/>
                <w:noProof/>
              </w:rPr>
              <w:t>3.2 An indictive cap will not be enough to curb incineration</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_Toc115343405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12</w:t>
            </w:r>
            <w:r w:rsidR="0063130C" w:rsidRPr="0063130C">
              <w:rPr>
                <w:rFonts w:ascii="Arial" w:hAnsi="Arial" w:cs="Arial"/>
                <w:b w:val="0"/>
                <w:noProof/>
                <w:webHidden/>
              </w:rPr>
              <w:fldChar w:fldCharType="end"/>
            </w:r>
          </w:hyperlink>
        </w:p>
        <w:p w14:paraId="5F3AF1FB" w14:textId="168AB778"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06" w:history="1">
            <w:r w:rsidR="0063130C" w:rsidRPr="0063130C">
              <w:rPr>
                <w:rStyle w:val="Hyperlink"/>
                <w:rFonts w:ascii="Arial" w:hAnsi="Arial" w:cs="Arial"/>
                <w:b w:val="0"/>
                <w:noProof/>
              </w:rPr>
              <w:t>3.3 Prioritise incinerators for closure</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_Toc115343406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12</w:t>
            </w:r>
            <w:r w:rsidR="0063130C" w:rsidRPr="0063130C">
              <w:rPr>
                <w:rFonts w:ascii="Arial" w:hAnsi="Arial" w:cs="Arial"/>
                <w:b w:val="0"/>
                <w:noProof/>
                <w:webHidden/>
              </w:rPr>
              <w:fldChar w:fldCharType="end"/>
            </w:r>
          </w:hyperlink>
        </w:p>
        <w:p w14:paraId="73622477" w14:textId="6E72A813" w:rsidR="0063130C" w:rsidRPr="0063130C" w:rsidRDefault="0065101A">
          <w:pPr>
            <w:pStyle w:val="TOC1"/>
            <w:rPr>
              <w:rFonts w:ascii="Arial" w:eastAsiaTheme="minorEastAsia" w:hAnsi="Arial" w:cs="Arial"/>
              <w:b w:val="0"/>
              <w:bCs w:val="0"/>
              <w:i w:val="0"/>
              <w:iCs w:val="0"/>
              <w:noProof/>
            </w:rPr>
          </w:pPr>
          <w:hyperlink w:anchor="_Toc115343407" w:history="1">
            <w:r w:rsidR="0063130C" w:rsidRPr="0063130C">
              <w:rPr>
                <w:rStyle w:val="Hyperlink"/>
                <w:rFonts w:ascii="Arial" w:hAnsi="Arial" w:cs="Arial"/>
                <w:i w:val="0"/>
                <w:noProof/>
              </w:rPr>
              <w:t>4. Removing plastics from the waste stream</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_Toc115343407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13</w:t>
            </w:r>
            <w:r w:rsidR="0063130C" w:rsidRPr="0063130C">
              <w:rPr>
                <w:rFonts w:ascii="Arial" w:hAnsi="Arial" w:cs="Arial"/>
                <w:i w:val="0"/>
                <w:noProof/>
                <w:webHidden/>
              </w:rPr>
              <w:fldChar w:fldCharType="end"/>
            </w:r>
          </w:hyperlink>
        </w:p>
        <w:p w14:paraId="171DD3DB" w14:textId="085F9775" w:rsidR="0063130C" w:rsidRPr="0063130C" w:rsidRDefault="0065101A">
          <w:pPr>
            <w:pStyle w:val="TOC1"/>
            <w:rPr>
              <w:rFonts w:ascii="Arial" w:eastAsiaTheme="minorEastAsia" w:hAnsi="Arial" w:cs="Arial"/>
              <w:b w:val="0"/>
              <w:bCs w:val="0"/>
              <w:i w:val="0"/>
              <w:iCs w:val="0"/>
              <w:noProof/>
            </w:rPr>
          </w:pPr>
          <w:hyperlink w:anchor="_Toc115343408" w:history="1">
            <w:r w:rsidR="0063130C" w:rsidRPr="0063130C">
              <w:rPr>
                <w:rStyle w:val="Hyperlink"/>
                <w:rFonts w:ascii="Arial" w:hAnsi="Arial" w:cs="Arial"/>
                <w:i w:val="0"/>
                <w:noProof/>
              </w:rPr>
              <w:t>5. Biostabilisation</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_Toc115343408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14</w:t>
            </w:r>
            <w:r w:rsidR="0063130C" w:rsidRPr="0063130C">
              <w:rPr>
                <w:rFonts w:ascii="Arial" w:hAnsi="Arial" w:cs="Arial"/>
                <w:i w:val="0"/>
                <w:noProof/>
                <w:webHidden/>
              </w:rPr>
              <w:fldChar w:fldCharType="end"/>
            </w:r>
          </w:hyperlink>
        </w:p>
        <w:p w14:paraId="6E553E50" w14:textId="16FC1F90" w:rsidR="0063130C" w:rsidRPr="0063130C" w:rsidRDefault="0065101A">
          <w:pPr>
            <w:pStyle w:val="TOC1"/>
            <w:rPr>
              <w:rFonts w:ascii="Arial" w:eastAsiaTheme="minorEastAsia" w:hAnsi="Arial" w:cs="Arial"/>
              <w:b w:val="0"/>
              <w:bCs w:val="0"/>
              <w:i w:val="0"/>
              <w:iCs w:val="0"/>
              <w:noProof/>
            </w:rPr>
          </w:pPr>
          <w:hyperlink w:anchor="_Toc115343409" w:history="1">
            <w:r w:rsidR="0063130C" w:rsidRPr="0063130C">
              <w:rPr>
                <w:rStyle w:val="Hyperlink"/>
                <w:rFonts w:ascii="Arial" w:hAnsi="Arial" w:cs="Arial"/>
                <w:i w:val="0"/>
                <w:noProof/>
              </w:rPr>
              <w:t>6. Combined Heat and Power networks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_Toc115343409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14</w:t>
            </w:r>
            <w:r w:rsidR="0063130C" w:rsidRPr="0063130C">
              <w:rPr>
                <w:rFonts w:ascii="Arial" w:hAnsi="Arial" w:cs="Arial"/>
                <w:i w:val="0"/>
                <w:noProof/>
                <w:webHidden/>
              </w:rPr>
              <w:fldChar w:fldCharType="end"/>
            </w:r>
          </w:hyperlink>
        </w:p>
        <w:p w14:paraId="57448763" w14:textId="4D2E28E8" w:rsidR="0063130C" w:rsidRPr="0063130C" w:rsidRDefault="0065101A">
          <w:pPr>
            <w:pStyle w:val="TOC1"/>
            <w:rPr>
              <w:rFonts w:ascii="Arial" w:eastAsiaTheme="minorEastAsia" w:hAnsi="Arial" w:cs="Arial"/>
              <w:b w:val="0"/>
              <w:bCs w:val="0"/>
              <w:i w:val="0"/>
              <w:iCs w:val="0"/>
              <w:noProof/>
            </w:rPr>
          </w:pPr>
          <w:hyperlink w:anchor="_Toc115343410" w:history="1">
            <w:r w:rsidR="0063130C" w:rsidRPr="0063130C">
              <w:rPr>
                <w:rStyle w:val="Hyperlink"/>
                <w:rFonts w:ascii="Arial" w:hAnsi="Arial" w:cs="Arial"/>
                <w:i w:val="0"/>
                <w:noProof/>
              </w:rPr>
              <w:t>7. Carbon Capture and Storage</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_Toc115343410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15</w:t>
            </w:r>
            <w:r w:rsidR="0063130C" w:rsidRPr="0063130C">
              <w:rPr>
                <w:rFonts w:ascii="Arial" w:hAnsi="Arial" w:cs="Arial"/>
                <w:i w:val="0"/>
                <w:noProof/>
                <w:webHidden/>
              </w:rPr>
              <w:fldChar w:fldCharType="end"/>
            </w:r>
          </w:hyperlink>
        </w:p>
        <w:p w14:paraId="7B0AB269" w14:textId="0AB7F79C"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11" w:history="1">
            <w:r w:rsidR="0063130C" w:rsidRPr="0063130C">
              <w:rPr>
                <w:rStyle w:val="Hyperlink"/>
                <w:rFonts w:ascii="Arial" w:hAnsi="Arial" w:cs="Arial"/>
                <w:b w:val="0"/>
                <w:noProof/>
              </w:rPr>
              <w:t>7.1 CCS is increasingly claimed to be panacea by the waste industry</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_Toc115343411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16</w:t>
            </w:r>
            <w:r w:rsidR="0063130C" w:rsidRPr="0063130C">
              <w:rPr>
                <w:rFonts w:ascii="Arial" w:hAnsi="Arial" w:cs="Arial"/>
                <w:b w:val="0"/>
                <w:noProof/>
                <w:webHidden/>
              </w:rPr>
              <w:fldChar w:fldCharType="end"/>
            </w:r>
          </w:hyperlink>
        </w:p>
        <w:p w14:paraId="646B50FE" w14:textId="4D76CF65" w:rsidR="0063130C" w:rsidRPr="0063130C" w:rsidRDefault="0065101A">
          <w:pPr>
            <w:pStyle w:val="TOC2"/>
            <w:tabs>
              <w:tab w:val="right" w:leader="dot" w:pos="9010"/>
            </w:tabs>
            <w:rPr>
              <w:rFonts w:ascii="Arial" w:eastAsiaTheme="minorEastAsia" w:hAnsi="Arial" w:cs="Arial"/>
              <w:b w:val="0"/>
              <w:bCs w:val="0"/>
              <w:noProof/>
              <w:sz w:val="24"/>
              <w:szCs w:val="24"/>
            </w:rPr>
          </w:pPr>
          <w:hyperlink w:anchor="_Toc115343412" w:history="1">
            <w:r w:rsidR="0063130C" w:rsidRPr="0063130C">
              <w:rPr>
                <w:rStyle w:val="Hyperlink"/>
                <w:rFonts w:ascii="Arial" w:hAnsi="Arial" w:cs="Arial"/>
                <w:b w:val="0"/>
                <w:noProof/>
              </w:rPr>
              <w:t>7.2 CCS plans usually fail</w:t>
            </w:r>
            <w:r w:rsidR="0063130C" w:rsidRPr="0063130C">
              <w:rPr>
                <w:rFonts w:ascii="Arial" w:hAnsi="Arial" w:cs="Arial"/>
                <w:b w:val="0"/>
                <w:noProof/>
                <w:webHidden/>
              </w:rPr>
              <w:tab/>
            </w:r>
            <w:r w:rsidR="0063130C" w:rsidRPr="0063130C">
              <w:rPr>
                <w:rFonts w:ascii="Arial" w:hAnsi="Arial" w:cs="Arial"/>
                <w:b w:val="0"/>
                <w:noProof/>
                <w:webHidden/>
              </w:rPr>
              <w:fldChar w:fldCharType="begin"/>
            </w:r>
            <w:r w:rsidR="0063130C" w:rsidRPr="0063130C">
              <w:rPr>
                <w:rFonts w:ascii="Arial" w:hAnsi="Arial" w:cs="Arial"/>
                <w:b w:val="0"/>
                <w:noProof/>
                <w:webHidden/>
              </w:rPr>
              <w:instrText xml:space="preserve"> PAGEREF _Toc115343412 \h </w:instrText>
            </w:r>
            <w:r w:rsidR="0063130C" w:rsidRPr="0063130C">
              <w:rPr>
                <w:rFonts w:ascii="Arial" w:hAnsi="Arial" w:cs="Arial"/>
                <w:b w:val="0"/>
                <w:noProof/>
                <w:webHidden/>
              </w:rPr>
            </w:r>
            <w:r w:rsidR="0063130C" w:rsidRPr="0063130C">
              <w:rPr>
                <w:rFonts w:ascii="Arial" w:hAnsi="Arial" w:cs="Arial"/>
                <w:b w:val="0"/>
                <w:noProof/>
                <w:webHidden/>
              </w:rPr>
              <w:fldChar w:fldCharType="separate"/>
            </w:r>
            <w:r w:rsidR="0063130C" w:rsidRPr="0063130C">
              <w:rPr>
                <w:rFonts w:ascii="Arial" w:hAnsi="Arial" w:cs="Arial"/>
                <w:b w:val="0"/>
                <w:noProof/>
                <w:webHidden/>
              </w:rPr>
              <w:t>16</w:t>
            </w:r>
            <w:r w:rsidR="0063130C" w:rsidRPr="0063130C">
              <w:rPr>
                <w:rFonts w:ascii="Arial" w:hAnsi="Arial" w:cs="Arial"/>
                <w:b w:val="0"/>
                <w:noProof/>
                <w:webHidden/>
              </w:rPr>
              <w:fldChar w:fldCharType="end"/>
            </w:r>
          </w:hyperlink>
        </w:p>
        <w:p w14:paraId="040EFB04" w14:textId="7922F1E2" w:rsidR="0063130C" w:rsidRPr="0063130C" w:rsidRDefault="0065101A">
          <w:pPr>
            <w:pStyle w:val="TOC1"/>
            <w:rPr>
              <w:rFonts w:ascii="Arial" w:eastAsiaTheme="minorEastAsia" w:hAnsi="Arial" w:cs="Arial"/>
              <w:b w:val="0"/>
              <w:bCs w:val="0"/>
              <w:i w:val="0"/>
              <w:iCs w:val="0"/>
              <w:noProof/>
            </w:rPr>
          </w:pPr>
          <w:hyperlink w:anchor="_Toc115343413" w:history="1">
            <w:r w:rsidR="0063130C" w:rsidRPr="0063130C">
              <w:rPr>
                <w:rStyle w:val="Hyperlink"/>
                <w:rFonts w:ascii="Arial" w:hAnsi="Arial" w:cs="Arial"/>
                <w:i w:val="0"/>
                <w:noProof/>
              </w:rPr>
              <w:t>8. Taxation policy options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_Toc115343413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17</w:t>
            </w:r>
            <w:r w:rsidR="0063130C" w:rsidRPr="0063130C">
              <w:rPr>
                <w:rFonts w:ascii="Arial" w:hAnsi="Arial" w:cs="Arial"/>
                <w:i w:val="0"/>
                <w:noProof/>
                <w:webHidden/>
              </w:rPr>
              <w:fldChar w:fldCharType="end"/>
            </w:r>
          </w:hyperlink>
        </w:p>
        <w:p w14:paraId="4DC07AA8" w14:textId="7ADD270E" w:rsidR="0063130C" w:rsidRPr="0063130C" w:rsidRDefault="0065101A">
          <w:pPr>
            <w:pStyle w:val="TOC1"/>
            <w:rPr>
              <w:rFonts w:ascii="Arial" w:eastAsiaTheme="minorEastAsia" w:hAnsi="Arial" w:cs="Arial"/>
              <w:b w:val="0"/>
              <w:bCs w:val="0"/>
              <w:i w:val="0"/>
              <w:iCs w:val="0"/>
              <w:noProof/>
            </w:rPr>
          </w:pPr>
          <w:hyperlink w:anchor="_Toc115343414" w:history="1">
            <w:r w:rsidR="0063130C" w:rsidRPr="0063130C">
              <w:rPr>
                <w:rStyle w:val="Hyperlink"/>
                <w:rFonts w:ascii="Arial" w:hAnsi="Arial" w:cs="Arial"/>
                <w:i w:val="0"/>
                <w:noProof/>
              </w:rPr>
              <w:t>Summary of main recommendations</w:t>
            </w:r>
            <w:r w:rsidR="0063130C" w:rsidRPr="0063130C">
              <w:rPr>
                <w:rFonts w:ascii="Arial" w:hAnsi="Arial" w:cs="Arial"/>
                <w:i w:val="0"/>
                <w:noProof/>
                <w:webHidden/>
              </w:rPr>
              <w:tab/>
            </w:r>
            <w:r w:rsidR="0063130C" w:rsidRPr="0063130C">
              <w:rPr>
                <w:rFonts w:ascii="Arial" w:hAnsi="Arial" w:cs="Arial"/>
                <w:i w:val="0"/>
                <w:noProof/>
                <w:webHidden/>
              </w:rPr>
              <w:fldChar w:fldCharType="begin"/>
            </w:r>
            <w:r w:rsidR="0063130C" w:rsidRPr="0063130C">
              <w:rPr>
                <w:rFonts w:ascii="Arial" w:hAnsi="Arial" w:cs="Arial"/>
                <w:i w:val="0"/>
                <w:noProof/>
                <w:webHidden/>
              </w:rPr>
              <w:instrText xml:space="preserve"> PAGEREF _Toc115343414 \h </w:instrText>
            </w:r>
            <w:r w:rsidR="0063130C" w:rsidRPr="0063130C">
              <w:rPr>
                <w:rFonts w:ascii="Arial" w:hAnsi="Arial" w:cs="Arial"/>
                <w:i w:val="0"/>
                <w:noProof/>
                <w:webHidden/>
              </w:rPr>
            </w:r>
            <w:r w:rsidR="0063130C" w:rsidRPr="0063130C">
              <w:rPr>
                <w:rFonts w:ascii="Arial" w:hAnsi="Arial" w:cs="Arial"/>
                <w:i w:val="0"/>
                <w:noProof/>
                <w:webHidden/>
              </w:rPr>
              <w:fldChar w:fldCharType="separate"/>
            </w:r>
            <w:r w:rsidR="0063130C" w:rsidRPr="0063130C">
              <w:rPr>
                <w:rFonts w:ascii="Arial" w:hAnsi="Arial" w:cs="Arial"/>
                <w:i w:val="0"/>
                <w:noProof/>
                <w:webHidden/>
              </w:rPr>
              <w:t>17</w:t>
            </w:r>
            <w:r w:rsidR="0063130C" w:rsidRPr="0063130C">
              <w:rPr>
                <w:rFonts w:ascii="Arial" w:hAnsi="Arial" w:cs="Arial"/>
                <w:i w:val="0"/>
                <w:noProof/>
                <w:webHidden/>
              </w:rPr>
              <w:fldChar w:fldCharType="end"/>
            </w:r>
          </w:hyperlink>
        </w:p>
        <w:p w14:paraId="23303995" w14:textId="4BF6179C" w:rsidR="00EB765C" w:rsidRPr="0063130C" w:rsidRDefault="00EB765C">
          <w:pPr>
            <w:rPr>
              <w:rFonts w:ascii="Arial" w:hAnsi="Arial" w:cs="Arial"/>
              <w:color w:val="000000" w:themeColor="text1"/>
            </w:rPr>
          </w:pPr>
          <w:r w:rsidRPr="0063130C">
            <w:rPr>
              <w:rFonts w:ascii="Arial" w:hAnsi="Arial" w:cs="Arial"/>
              <w:bCs/>
              <w:noProof/>
              <w:color w:val="000000" w:themeColor="text1"/>
            </w:rPr>
            <w:fldChar w:fldCharType="end"/>
          </w:r>
        </w:p>
      </w:sdtContent>
    </w:sdt>
    <w:p w14:paraId="0C1DDD0D" w14:textId="77777777" w:rsidR="00EB765C" w:rsidRPr="0063130C" w:rsidRDefault="00EB765C">
      <w:pPr>
        <w:rPr>
          <w:rFonts w:ascii="Arial" w:eastAsia="Times New Roman" w:hAnsi="Arial" w:cs="Arial"/>
          <w:b/>
          <w:color w:val="000000" w:themeColor="text1"/>
          <w:sz w:val="28"/>
          <w:szCs w:val="32"/>
        </w:rPr>
      </w:pPr>
      <w:r w:rsidRPr="0063130C">
        <w:rPr>
          <w:rFonts w:ascii="Arial" w:eastAsia="Times New Roman" w:hAnsi="Arial" w:cs="Arial"/>
        </w:rPr>
        <w:br w:type="page"/>
      </w:r>
    </w:p>
    <w:p w14:paraId="70B5FFFB" w14:textId="77777777" w:rsidR="00D34360" w:rsidRPr="00424CC2" w:rsidRDefault="0091094A" w:rsidP="0091094A">
      <w:pPr>
        <w:pStyle w:val="Heading1"/>
        <w:rPr>
          <w:rFonts w:eastAsia="Times New Roman" w:cs="Arial"/>
        </w:rPr>
      </w:pPr>
      <w:bookmarkStart w:id="2" w:name="_Toc115343394"/>
      <w:r w:rsidRPr="00424CC2">
        <w:rPr>
          <w:rFonts w:eastAsia="Times New Roman" w:cs="Arial"/>
        </w:rPr>
        <w:lastRenderedPageBreak/>
        <w:t>Details response and recommendations</w:t>
      </w:r>
      <w:bookmarkEnd w:id="2"/>
    </w:p>
    <w:p w14:paraId="112A2C3C" w14:textId="77777777" w:rsidR="0091094A" w:rsidRPr="00424CC2" w:rsidRDefault="0091094A" w:rsidP="0091094A">
      <w:pPr>
        <w:pStyle w:val="Heading1"/>
        <w:rPr>
          <w:rFonts w:cs="Arial"/>
        </w:rPr>
      </w:pPr>
    </w:p>
    <w:p w14:paraId="3BDDACEB" w14:textId="77777777" w:rsidR="0091094A" w:rsidRPr="00424CC2" w:rsidRDefault="0091094A" w:rsidP="0091094A">
      <w:pPr>
        <w:rPr>
          <w:rFonts w:ascii="Arial" w:hAnsi="Arial" w:cs="Arial"/>
        </w:rPr>
      </w:pPr>
    </w:p>
    <w:p w14:paraId="423F7CBA" w14:textId="76DB2F25" w:rsidR="0091094A" w:rsidRPr="00424CC2" w:rsidRDefault="00210609" w:rsidP="00A02BE4">
      <w:pPr>
        <w:pStyle w:val="Heading1"/>
        <w:rPr>
          <w:rFonts w:cs="Arial"/>
        </w:rPr>
      </w:pPr>
      <w:bookmarkStart w:id="3" w:name="_Toc115343395"/>
      <w:r>
        <w:rPr>
          <w:rFonts w:cs="Arial"/>
        </w:rPr>
        <w:t>1</w:t>
      </w:r>
      <w:r w:rsidR="0091094A" w:rsidRPr="00424CC2">
        <w:rPr>
          <w:rFonts w:cs="Arial"/>
        </w:rPr>
        <w:t xml:space="preserve">. Concerns about the scope of the </w:t>
      </w:r>
      <w:r w:rsidR="00CB3A07">
        <w:rPr>
          <w:rFonts w:cs="Arial"/>
        </w:rPr>
        <w:t>study</w:t>
      </w:r>
      <w:r w:rsidR="00A02BE4" w:rsidRPr="00424CC2">
        <w:rPr>
          <w:rFonts w:cs="Arial"/>
        </w:rPr>
        <w:t xml:space="preserve"> and supporting analysis</w:t>
      </w:r>
      <w:bookmarkEnd w:id="3"/>
    </w:p>
    <w:p w14:paraId="18A0BEBE" w14:textId="10716B7B" w:rsidR="00A02BE4" w:rsidRPr="00424CC2" w:rsidRDefault="0091094A" w:rsidP="00A02BE4">
      <w:pPr>
        <w:rPr>
          <w:rFonts w:ascii="Arial" w:hAnsi="Arial" w:cs="Arial"/>
        </w:rPr>
      </w:pPr>
      <w:r w:rsidRPr="00424CC2">
        <w:rPr>
          <w:rFonts w:ascii="Arial" w:hAnsi="Arial" w:cs="Arial"/>
        </w:rPr>
        <w:t xml:space="preserve">The </w:t>
      </w:r>
      <w:r w:rsidR="00C2010D">
        <w:rPr>
          <w:rFonts w:ascii="Arial" w:hAnsi="Arial" w:cs="Arial"/>
        </w:rPr>
        <w:t>D</w:t>
      </w:r>
      <w:r w:rsidRPr="00424CC2">
        <w:rPr>
          <w:rFonts w:ascii="Arial" w:hAnsi="Arial" w:cs="Arial"/>
        </w:rPr>
        <w:t xml:space="preserve">ecarbonisation </w:t>
      </w:r>
      <w:r w:rsidR="00C2010D">
        <w:rPr>
          <w:rFonts w:ascii="Arial" w:hAnsi="Arial" w:cs="Arial"/>
        </w:rPr>
        <w:t>S</w:t>
      </w:r>
      <w:r w:rsidR="00CB3A07">
        <w:rPr>
          <w:rFonts w:ascii="Arial" w:hAnsi="Arial" w:cs="Arial"/>
        </w:rPr>
        <w:t>tudy</w:t>
      </w:r>
      <w:r w:rsidRPr="00424CC2">
        <w:rPr>
          <w:rFonts w:ascii="Arial" w:hAnsi="Arial" w:cs="Arial"/>
        </w:rPr>
        <w:t xml:space="preserve"> </w:t>
      </w:r>
      <w:r w:rsidR="00A02BE4" w:rsidRPr="00424CC2">
        <w:rPr>
          <w:rFonts w:ascii="Arial" w:hAnsi="Arial" w:cs="Arial"/>
        </w:rPr>
        <w:t>is supported by an analysis being conducted by Eunomia.</w:t>
      </w:r>
      <w:r w:rsidR="001446D6" w:rsidRPr="00424CC2">
        <w:rPr>
          <w:rFonts w:ascii="Arial" w:hAnsi="Arial" w:cs="Arial"/>
        </w:rPr>
        <w:t xml:space="preserve"> </w:t>
      </w:r>
      <w:r w:rsidR="00CB3A07">
        <w:rPr>
          <w:rFonts w:ascii="Arial" w:hAnsi="Arial" w:cs="Arial"/>
        </w:rPr>
        <w:t xml:space="preserve">The analysis approach has not </w:t>
      </w:r>
      <w:r w:rsidR="00DD598E">
        <w:rPr>
          <w:rFonts w:ascii="Arial" w:hAnsi="Arial" w:cs="Arial"/>
        </w:rPr>
        <w:t>been</w:t>
      </w:r>
      <w:r w:rsidR="00CB3A07">
        <w:rPr>
          <w:rFonts w:ascii="Arial" w:hAnsi="Arial" w:cs="Arial"/>
        </w:rPr>
        <w:t xml:space="preserve"> made public beyond a presentation at a stakeholder event which gave very little details of the methodology. Based on this presentation, t</w:t>
      </w:r>
      <w:r w:rsidRPr="00424CC2">
        <w:rPr>
          <w:rFonts w:ascii="Arial" w:hAnsi="Arial" w:cs="Arial"/>
        </w:rPr>
        <w:t xml:space="preserve">he scope of the analysis </w:t>
      </w:r>
      <w:r w:rsidR="00CB3A07">
        <w:rPr>
          <w:rFonts w:ascii="Arial" w:hAnsi="Arial" w:cs="Arial"/>
        </w:rPr>
        <w:t>appears to be</w:t>
      </w:r>
      <w:r w:rsidRPr="00424CC2">
        <w:rPr>
          <w:rFonts w:ascii="Arial" w:hAnsi="Arial" w:cs="Arial"/>
        </w:rPr>
        <w:t xml:space="preserve"> </w:t>
      </w:r>
      <w:r w:rsidR="00A02BE4" w:rsidRPr="00424CC2">
        <w:rPr>
          <w:rFonts w:ascii="Arial" w:hAnsi="Arial" w:cs="Arial"/>
        </w:rPr>
        <w:t xml:space="preserve">narrow </w:t>
      </w:r>
      <w:r w:rsidR="00FC4B4B" w:rsidRPr="00424CC2">
        <w:rPr>
          <w:rFonts w:ascii="Arial" w:hAnsi="Arial" w:cs="Arial"/>
        </w:rPr>
        <w:t xml:space="preserve">in </w:t>
      </w:r>
      <w:r w:rsidR="00CB3A07">
        <w:rPr>
          <w:rFonts w:ascii="Arial" w:hAnsi="Arial" w:cs="Arial"/>
        </w:rPr>
        <w:t xml:space="preserve">at least </w:t>
      </w:r>
      <w:r w:rsidR="00FC4B4B" w:rsidRPr="00424CC2">
        <w:rPr>
          <w:rFonts w:ascii="Arial" w:hAnsi="Arial" w:cs="Arial"/>
        </w:rPr>
        <w:t>two important aspects:</w:t>
      </w:r>
    </w:p>
    <w:p w14:paraId="69C24A53" w14:textId="77777777" w:rsidR="00A02BE4" w:rsidRPr="00424CC2" w:rsidRDefault="008E38CA" w:rsidP="00A02BE4">
      <w:pPr>
        <w:pStyle w:val="ListParagraph"/>
        <w:numPr>
          <w:ilvl w:val="0"/>
          <w:numId w:val="4"/>
        </w:numPr>
        <w:rPr>
          <w:rFonts w:ascii="Arial" w:hAnsi="Arial" w:cs="Arial"/>
        </w:rPr>
      </w:pPr>
      <w:r w:rsidRPr="00424CC2">
        <w:rPr>
          <w:rFonts w:ascii="Arial" w:hAnsi="Arial" w:cs="Arial"/>
        </w:rPr>
        <w:t>The model only extends</w:t>
      </w:r>
      <w:r w:rsidR="00A02BE4" w:rsidRPr="00424CC2">
        <w:rPr>
          <w:rFonts w:ascii="Arial" w:hAnsi="Arial" w:cs="Arial"/>
        </w:rPr>
        <w:t xml:space="preserve"> to 2035</w:t>
      </w:r>
      <w:r w:rsidRPr="00424CC2">
        <w:rPr>
          <w:rFonts w:ascii="Arial" w:hAnsi="Arial" w:cs="Arial"/>
        </w:rPr>
        <w:t>;</w:t>
      </w:r>
    </w:p>
    <w:p w14:paraId="5DAA410B" w14:textId="77777777" w:rsidR="008E38CA" w:rsidRPr="00424CC2" w:rsidRDefault="00CB3A07" w:rsidP="00FC4B4B">
      <w:pPr>
        <w:pStyle w:val="ListParagraph"/>
        <w:numPr>
          <w:ilvl w:val="0"/>
          <w:numId w:val="4"/>
        </w:numPr>
        <w:rPr>
          <w:rFonts w:ascii="Arial" w:hAnsi="Arial" w:cs="Arial"/>
        </w:rPr>
      </w:pPr>
      <w:r>
        <w:rPr>
          <w:rFonts w:ascii="Arial" w:hAnsi="Arial" w:cs="Arial"/>
        </w:rPr>
        <w:t>Future</w:t>
      </w:r>
      <w:r w:rsidR="008E38CA" w:rsidRPr="00424CC2">
        <w:rPr>
          <w:rFonts w:ascii="Arial" w:hAnsi="Arial" w:cs="Arial"/>
        </w:rPr>
        <w:t xml:space="preserve"> decarbonisation of the electricity grid </w:t>
      </w:r>
      <w:r>
        <w:rPr>
          <w:rFonts w:ascii="Arial" w:hAnsi="Arial" w:cs="Arial"/>
        </w:rPr>
        <w:t>is not considered extensively</w:t>
      </w:r>
      <w:r w:rsidR="00FC4B4B" w:rsidRPr="00424CC2">
        <w:rPr>
          <w:rFonts w:ascii="Arial" w:hAnsi="Arial" w:cs="Arial"/>
        </w:rPr>
        <w:t>.</w:t>
      </w:r>
    </w:p>
    <w:p w14:paraId="678E3C9A" w14:textId="77777777" w:rsidR="00DA1DD5" w:rsidRDefault="00DA1DD5" w:rsidP="0091094A">
      <w:pPr>
        <w:rPr>
          <w:rFonts w:ascii="Arial" w:hAnsi="Arial" w:cs="Arial"/>
        </w:rPr>
      </w:pPr>
    </w:p>
    <w:p w14:paraId="65FC9089" w14:textId="1B2BD72D" w:rsidR="00CB3A07" w:rsidRDefault="00CB3A07" w:rsidP="0091094A">
      <w:pPr>
        <w:rPr>
          <w:rFonts w:ascii="Arial" w:hAnsi="Arial" w:cs="Arial"/>
        </w:rPr>
      </w:pPr>
      <w:r>
        <w:rPr>
          <w:rFonts w:ascii="Arial" w:hAnsi="Arial" w:cs="Arial"/>
        </w:rPr>
        <w:t>It is not possible to give a thorough review of the approach as this has not been shared.</w:t>
      </w:r>
    </w:p>
    <w:p w14:paraId="2541D1C1" w14:textId="77777777" w:rsidR="004B1A63" w:rsidRPr="00424CC2" w:rsidRDefault="004B1A63" w:rsidP="0091094A">
      <w:pPr>
        <w:rPr>
          <w:rFonts w:ascii="Arial" w:hAnsi="Arial" w:cs="Arial"/>
        </w:rPr>
      </w:pPr>
    </w:p>
    <w:p w14:paraId="6918A7DC" w14:textId="4650C680" w:rsidR="008153FB" w:rsidRPr="00424CC2" w:rsidRDefault="00210609" w:rsidP="00362F0E">
      <w:pPr>
        <w:pStyle w:val="Heading2"/>
      </w:pPr>
      <w:bookmarkStart w:id="4" w:name="_Toc115343396"/>
      <w:r>
        <w:t>1</w:t>
      </w:r>
      <w:r w:rsidR="00FC4B4B" w:rsidRPr="00424CC2">
        <w:t xml:space="preserve">.1 </w:t>
      </w:r>
      <w:r w:rsidR="00CB3A07">
        <w:t>Concerns about the 2035 cut-off</w:t>
      </w:r>
      <w:bookmarkEnd w:id="4"/>
    </w:p>
    <w:p w14:paraId="71EC9F73" w14:textId="77777777" w:rsidR="008E38CA" w:rsidRPr="00424CC2" w:rsidRDefault="00DA1DD5" w:rsidP="0091094A">
      <w:pPr>
        <w:rPr>
          <w:rFonts w:ascii="Arial" w:hAnsi="Arial" w:cs="Arial"/>
        </w:rPr>
      </w:pPr>
      <w:r w:rsidRPr="00424CC2">
        <w:rPr>
          <w:rFonts w:ascii="Arial" w:hAnsi="Arial" w:cs="Arial"/>
        </w:rPr>
        <w:t>The</w:t>
      </w:r>
      <w:r w:rsidR="008E38CA" w:rsidRPr="00424CC2">
        <w:rPr>
          <w:rFonts w:ascii="Arial" w:hAnsi="Arial" w:cs="Arial"/>
        </w:rPr>
        <w:t xml:space="preserve"> main Incineration Review </w:t>
      </w:r>
      <w:proofErr w:type="gramStart"/>
      <w:r w:rsidR="008E38CA" w:rsidRPr="00424CC2">
        <w:rPr>
          <w:rFonts w:ascii="Arial" w:hAnsi="Arial" w:cs="Arial"/>
        </w:rPr>
        <w:t>models</w:t>
      </w:r>
      <w:proofErr w:type="gramEnd"/>
      <w:r w:rsidR="008E38CA" w:rsidRPr="00424CC2">
        <w:rPr>
          <w:rFonts w:ascii="Arial" w:hAnsi="Arial" w:cs="Arial"/>
        </w:rPr>
        <w:t xml:space="preserve"> capacity to 2050 and </w:t>
      </w:r>
      <w:r w:rsidRPr="00424CC2">
        <w:rPr>
          <w:rFonts w:ascii="Arial" w:hAnsi="Arial" w:cs="Arial"/>
        </w:rPr>
        <w:t xml:space="preserve">the targets set out in the Climate Change (Emissions reduction Targets) (Scotland) Act are for 2045, so ideally the </w:t>
      </w:r>
      <w:r w:rsidR="00C2010D">
        <w:rPr>
          <w:rFonts w:ascii="Arial" w:hAnsi="Arial" w:cs="Arial"/>
        </w:rPr>
        <w:t>D</w:t>
      </w:r>
      <w:r w:rsidR="00C2010D" w:rsidRPr="00424CC2">
        <w:rPr>
          <w:rFonts w:ascii="Arial" w:hAnsi="Arial" w:cs="Arial"/>
        </w:rPr>
        <w:t xml:space="preserve">ecarbonisation </w:t>
      </w:r>
      <w:r w:rsidR="00C2010D">
        <w:rPr>
          <w:rFonts w:ascii="Arial" w:hAnsi="Arial" w:cs="Arial"/>
        </w:rPr>
        <w:t>Study</w:t>
      </w:r>
      <w:r w:rsidR="00C2010D" w:rsidRPr="00424CC2">
        <w:rPr>
          <w:rFonts w:ascii="Arial" w:hAnsi="Arial" w:cs="Arial"/>
        </w:rPr>
        <w:t xml:space="preserve"> </w:t>
      </w:r>
      <w:r w:rsidRPr="00424CC2">
        <w:rPr>
          <w:rFonts w:ascii="Arial" w:hAnsi="Arial" w:cs="Arial"/>
        </w:rPr>
        <w:t>should have modelled waste composition to 2050</w:t>
      </w:r>
      <w:r w:rsidR="00F1624F">
        <w:rPr>
          <w:rFonts w:ascii="Arial" w:hAnsi="Arial" w:cs="Arial"/>
        </w:rPr>
        <w:t xml:space="preserve"> or at least 2045</w:t>
      </w:r>
      <w:r w:rsidR="003179E1">
        <w:rPr>
          <w:rFonts w:ascii="Arial" w:hAnsi="Arial" w:cs="Arial"/>
        </w:rPr>
        <w:t>. This would</w:t>
      </w:r>
      <w:r w:rsidRPr="00424CC2">
        <w:rPr>
          <w:rFonts w:ascii="Arial" w:hAnsi="Arial" w:cs="Arial"/>
        </w:rPr>
        <w:t xml:space="preserve"> allow carbon impacts to be assessed</w:t>
      </w:r>
      <w:r w:rsidR="003179E1">
        <w:rPr>
          <w:rFonts w:ascii="Arial" w:hAnsi="Arial" w:cs="Arial"/>
        </w:rPr>
        <w:t xml:space="preserve"> in terms of their impact on Scotland’s climate targets</w:t>
      </w:r>
      <w:r w:rsidRPr="00424CC2">
        <w:rPr>
          <w:rFonts w:ascii="Arial" w:hAnsi="Arial" w:cs="Arial"/>
        </w:rPr>
        <w:t xml:space="preserve">. </w:t>
      </w:r>
    </w:p>
    <w:p w14:paraId="1DADFAA3" w14:textId="77777777" w:rsidR="00DA1DD5" w:rsidRPr="00424CC2" w:rsidRDefault="00DA1DD5" w:rsidP="0091094A">
      <w:pPr>
        <w:rPr>
          <w:rFonts w:ascii="Arial" w:hAnsi="Arial" w:cs="Arial"/>
        </w:rPr>
      </w:pPr>
    </w:p>
    <w:p w14:paraId="3674FC6F" w14:textId="77777777" w:rsidR="00DA1DD5" w:rsidRPr="00424CC2" w:rsidRDefault="00DA1DD5" w:rsidP="00DA1DD5">
      <w:pPr>
        <w:rPr>
          <w:rFonts w:ascii="Arial" w:hAnsi="Arial" w:cs="Arial"/>
        </w:rPr>
      </w:pPr>
      <w:r w:rsidRPr="00424CC2">
        <w:rPr>
          <w:rFonts w:ascii="Arial" w:hAnsi="Arial" w:cs="Arial"/>
        </w:rPr>
        <w:t xml:space="preserve">Eunomia claim that waste composition to 2035 is too uncertain to model. Waste composition analysis always has a high level of uncertainty due to the heterogenous nature of waste. </w:t>
      </w:r>
      <w:r w:rsidR="00E46EC0" w:rsidRPr="00424CC2">
        <w:rPr>
          <w:rFonts w:ascii="Arial" w:hAnsi="Arial" w:cs="Arial"/>
        </w:rPr>
        <w:t>The additional uncertainty from modelling to 2050, rather than to 2035 will be marginal compared to overall</w:t>
      </w:r>
      <w:r w:rsidR="000C04F2">
        <w:rPr>
          <w:rFonts w:ascii="Arial" w:hAnsi="Arial" w:cs="Arial"/>
        </w:rPr>
        <w:t xml:space="preserve"> level of uncertainty</w:t>
      </w:r>
      <w:r w:rsidR="00E46EC0" w:rsidRPr="00424CC2">
        <w:rPr>
          <w:rFonts w:ascii="Arial" w:hAnsi="Arial" w:cs="Arial"/>
        </w:rPr>
        <w:t xml:space="preserve">. </w:t>
      </w:r>
      <w:r w:rsidRPr="00424CC2">
        <w:rPr>
          <w:rFonts w:ascii="Arial" w:hAnsi="Arial" w:cs="Arial"/>
        </w:rPr>
        <w:t>Uncertain</w:t>
      </w:r>
      <w:r w:rsidR="00E46EC0" w:rsidRPr="00424CC2">
        <w:rPr>
          <w:rFonts w:ascii="Arial" w:hAnsi="Arial" w:cs="Arial"/>
        </w:rPr>
        <w:t>ty is</w:t>
      </w:r>
      <w:r w:rsidR="00F2260E" w:rsidRPr="00424CC2">
        <w:rPr>
          <w:rFonts w:ascii="Arial" w:hAnsi="Arial" w:cs="Arial"/>
        </w:rPr>
        <w:t xml:space="preserve"> commonly</w:t>
      </w:r>
      <w:r w:rsidRPr="00424CC2">
        <w:rPr>
          <w:rFonts w:ascii="Arial" w:hAnsi="Arial" w:cs="Arial"/>
        </w:rPr>
        <w:t xml:space="preserve"> dealt with in a number of ways</w:t>
      </w:r>
      <w:r w:rsidR="00444136" w:rsidRPr="00424CC2">
        <w:rPr>
          <w:rFonts w:ascii="Arial" w:hAnsi="Arial" w:cs="Arial"/>
        </w:rPr>
        <w:t xml:space="preserve"> including:</w:t>
      </w:r>
    </w:p>
    <w:p w14:paraId="4104F129" w14:textId="77777777" w:rsidR="00444136" w:rsidRPr="00424CC2" w:rsidRDefault="00444136" w:rsidP="00444136">
      <w:pPr>
        <w:pStyle w:val="ListParagraph"/>
        <w:numPr>
          <w:ilvl w:val="0"/>
          <w:numId w:val="4"/>
        </w:numPr>
        <w:rPr>
          <w:rFonts w:ascii="Arial" w:hAnsi="Arial" w:cs="Arial"/>
        </w:rPr>
      </w:pPr>
      <w:r w:rsidRPr="00424CC2">
        <w:rPr>
          <w:rFonts w:ascii="Arial" w:hAnsi="Arial" w:cs="Arial"/>
        </w:rPr>
        <w:t>scientific approaches (</w:t>
      </w:r>
      <w:r w:rsidR="008153FB" w:rsidRPr="00424CC2">
        <w:rPr>
          <w:rFonts w:ascii="Arial" w:hAnsi="Arial" w:cs="Arial"/>
        </w:rPr>
        <w:t xml:space="preserve">e.g. </w:t>
      </w:r>
      <w:r w:rsidRPr="00424CC2">
        <w:rPr>
          <w:rFonts w:ascii="Arial" w:hAnsi="Arial" w:cs="Arial"/>
        </w:rPr>
        <w:t>do more research, improve data quality)</w:t>
      </w:r>
      <w:r w:rsidR="008153FB" w:rsidRPr="00424CC2">
        <w:rPr>
          <w:rFonts w:ascii="Arial" w:hAnsi="Arial" w:cs="Arial"/>
        </w:rPr>
        <w:t>;</w:t>
      </w:r>
    </w:p>
    <w:p w14:paraId="75A48CA1" w14:textId="77777777" w:rsidR="00444136" w:rsidRPr="00424CC2" w:rsidRDefault="00444136" w:rsidP="00444136">
      <w:pPr>
        <w:pStyle w:val="ListParagraph"/>
        <w:numPr>
          <w:ilvl w:val="0"/>
          <w:numId w:val="4"/>
        </w:numPr>
        <w:rPr>
          <w:rFonts w:ascii="Arial" w:hAnsi="Arial" w:cs="Arial"/>
        </w:rPr>
      </w:pPr>
      <w:r w:rsidRPr="00424CC2">
        <w:rPr>
          <w:rFonts w:ascii="Arial" w:hAnsi="Arial" w:cs="Arial"/>
        </w:rPr>
        <w:t>social approaches (</w:t>
      </w:r>
      <w:r w:rsidR="008153FB" w:rsidRPr="00424CC2">
        <w:rPr>
          <w:rFonts w:ascii="Arial" w:hAnsi="Arial" w:cs="Arial"/>
        </w:rPr>
        <w:t xml:space="preserve">e.g. </w:t>
      </w:r>
      <w:r w:rsidRPr="00424CC2">
        <w:rPr>
          <w:rFonts w:ascii="Arial" w:hAnsi="Arial" w:cs="Arial"/>
        </w:rPr>
        <w:t>consult expert stakeholders)</w:t>
      </w:r>
      <w:r w:rsidR="008153FB" w:rsidRPr="00424CC2">
        <w:rPr>
          <w:rFonts w:ascii="Arial" w:hAnsi="Arial" w:cs="Arial"/>
        </w:rPr>
        <w:t>;</w:t>
      </w:r>
    </w:p>
    <w:p w14:paraId="44B3FB6B" w14:textId="77777777" w:rsidR="00444136" w:rsidRPr="00424CC2" w:rsidRDefault="00444136" w:rsidP="00444136">
      <w:pPr>
        <w:pStyle w:val="ListParagraph"/>
        <w:numPr>
          <w:ilvl w:val="0"/>
          <w:numId w:val="4"/>
        </w:numPr>
        <w:rPr>
          <w:rFonts w:ascii="Arial" w:hAnsi="Arial" w:cs="Arial"/>
        </w:rPr>
      </w:pPr>
      <w:r w:rsidRPr="00424CC2">
        <w:rPr>
          <w:rFonts w:ascii="Arial" w:hAnsi="Arial" w:cs="Arial"/>
        </w:rPr>
        <w:t>statistical (</w:t>
      </w:r>
      <w:r w:rsidR="008153FB" w:rsidRPr="00424CC2">
        <w:rPr>
          <w:rFonts w:ascii="Arial" w:hAnsi="Arial" w:cs="Arial"/>
        </w:rPr>
        <w:t xml:space="preserve">e.g. </w:t>
      </w:r>
      <w:r w:rsidRPr="00424CC2">
        <w:rPr>
          <w:rFonts w:ascii="Arial" w:hAnsi="Arial" w:cs="Arial"/>
        </w:rPr>
        <w:t>Monte Carlo analysis, confidence intervals)</w:t>
      </w:r>
      <w:r w:rsidR="008153FB" w:rsidRPr="00424CC2">
        <w:rPr>
          <w:rFonts w:ascii="Arial" w:hAnsi="Arial" w:cs="Arial"/>
        </w:rPr>
        <w:t>.</w:t>
      </w:r>
    </w:p>
    <w:p w14:paraId="47C10652" w14:textId="77777777" w:rsidR="00DA1DD5" w:rsidRPr="00424CC2" w:rsidRDefault="00DA1DD5" w:rsidP="0091094A">
      <w:pPr>
        <w:rPr>
          <w:rFonts w:ascii="Arial" w:hAnsi="Arial" w:cs="Arial"/>
        </w:rPr>
      </w:pPr>
    </w:p>
    <w:p w14:paraId="531C5872" w14:textId="61130C09" w:rsidR="00444136" w:rsidRPr="00424CC2" w:rsidRDefault="00210609" w:rsidP="0091094A">
      <w:pPr>
        <w:rPr>
          <w:rFonts w:ascii="Arial" w:hAnsi="Arial" w:cs="Arial"/>
        </w:rPr>
      </w:pPr>
      <w:r>
        <w:rPr>
          <w:rFonts w:ascii="Arial" w:hAnsi="Arial" w:cs="Arial"/>
          <w:b/>
        </w:rPr>
        <w:t>The approach taken has</w:t>
      </w:r>
      <w:r w:rsidR="00444136" w:rsidRPr="000C04F2">
        <w:rPr>
          <w:rFonts w:ascii="Arial" w:hAnsi="Arial" w:cs="Arial"/>
          <w:b/>
        </w:rPr>
        <w:t xml:space="preserve"> restrict</w:t>
      </w:r>
      <w:r>
        <w:rPr>
          <w:rFonts w:ascii="Arial" w:hAnsi="Arial" w:cs="Arial"/>
          <w:b/>
        </w:rPr>
        <w:t>ed</w:t>
      </w:r>
      <w:r w:rsidR="00444136" w:rsidRPr="000C04F2">
        <w:rPr>
          <w:rFonts w:ascii="Arial" w:hAnsi="Arial" w:cs="Arial"/>
          <w:b/>
        </w:rPr>
        <w:t xml:space="preserve"> the model beyond the useful confines of the study</w:t>
      </w:r>
      <w:r>
        <w:rPr>
          <w:rFonts w:ascii="Arial" w:hAnsi="Arial" w:cs="Arial"/>
          <w:b/>
        </w:rPr>
        <w:t xml:space="preserve">. It </w:t>
      </w:r>
      <w:r w:rsidR="00444136" w:rsidRPr="000C04F2">
        <w:rPr>
          <w:rFonts w:ascii="Arial" w:hAnsi="Arial" w:cs="Arial"/>
          <w:b/>
        </w:rPr>
        <w:t>fall</w:t>
      </w:r>
      <w:r w:rsidR="00F2260E" w:rsidRPr="000C04F2">
        <w:rPr>
          <w:rFonts w:ascii="Arial" w:hAnsi="Arial" w:cs="Arial"/>
          <w:b/>
        </w:rPr>
        <w:t>s far</w:t>
      </w:r>
      <w:r w:rsidR="00444136" w:rsidRPr="000C04F2">
        <w:rPr>
          <w:rFonts w:ascii="Arial" w:hAnsi="Arial" w:cs="Arial"/>
          <w:b/>
        </w:rPr>
        <w:t xml:space="preserve"> short of what is acceptable</w:t>
      </w:r>
      <w:r w:rsidR="00F2260E" w:rsidRPr="000C04F2">
        <w:rPr>
          <w:rFonts w:ascii="Arial" w:hAnsi="Arial" w:cs="Arial"/>
          <w:b/>
        </w:rPr>
        <w:t xml:space="preserve"> to complete the task</w:t>
      </w:r>
      <w:r w:rsidR="00444136" w:rsidRPr="000C04F2">
        <w:rPr>
          <w:rFonts w:ascii="Arial" w:hAnsi="Arial" w:cs="Arial"/>
          <w:b/>
        </w:rPr>
        <w:t>.</w:t>
      </w:r>
      <w:r w:rsidR="00444136" w:rsidRPr="00424CC2">
        <w:rPr>
          <w:rFonts w:ascii="Arial" w:hAnsi="Arial" w:cs="Arial"/>
        </w:rPr>
        <w:t xml:space="preserve"> By restricting the analysis unnecessarily, policy makers to </w:t>
      </w:r>
      <w:r>
        <w:rPr>
          <w:rFonts w:ascii="Arial" w:hAnsi="Arial" w:cs="Arial"/>
        </w:rPr>
        <w:t xml:space="preserve">not able to </w:t>
      </w:r>
      <w:r w:rsidR="00444136" w:rsidRPr="00424CC2">
        <w:rPr>
          <w:rFonts w:ascii="Arial" w:hAnsi="Arial" w:cs="Arial"/>
        </w:rPr>
        <w:t>make the most informed choice possible. It is the Scottish Government, not Eunomia</w:t>
      </w:r>
      <w:r>
        <w:rPr>
          <w:rFonts w:ascii="Arial" w:hAnsi="Arial" w:cs="Arial"/>
        </w:rPr>
        <w:t xml:space="preserve"> or the Incineration Review team</w:t>
      </w:r>
      <w:r w:rsidR="00444136" w:rsidRPr="00424CC2">
        <w:rPr>
          <w:rFonts w:ascii="Arial" w:hAnsi="Arial" w:cs="Arial"/>
        </w:rPr>
        <w:t xml:space="preserve">, that should set </w:t>
      </w:r>
      <w:r w:rsidR="00CB3A07">
        <w:rPr>
          <w:rFonts w:ascii="Arial" w:hAnsi="Arial" w:cs="Arial"/>
        </w:rPr>
        <w:t xml:space="preserve">the parameters for </w:t>
      </w:r>
      <w:r w:rsidR="00444136" w:rsidRPr="00424CC2">
        <w:rPr>
          <w:rFonts w:ascii="Arial" w:hAnsi="Arial" w:cs="Arial"/>
        </w:rPr>
        <w:t xml:space="preserve">policy </w:t>
      </w:r>
      <w:r w:rsidR="00CB3A07">
        <w:rPr>
          <w:rFonts w:ascii="Arial" w:hAnsi="Arial" w:cs="Arial"/>
        </w:rPr>
        <w:t>in</w:t>
      </w:r>
      <w:r w:rsidR="00444136" w:rsidRPr="00424CC2">
        <w:rPr>
          <w:rFonts w:ascii="Arial" w:hAnsi="Arial" w:cs="Arial"/>
        </w:rPr>
        <w:t xml:space="preserve"> Scotland.</w:t>
      </w:r>
    </w:p>
    <w:p w14:paraId="0179F365" w14:textId="77777777" w:rsidR="00444136" w:rsidRPr="00424CC2" w:rsidRDefault="00444136" w:rsidP="0091094A">
      <w:pPr>
        <w:rPr>
          <w:rFonts w:ascii="Arial" w:hAnsi="Arial" w:cs="Arial"/>
        </w:rPr>
      </w:pPr>
    </w:p>
    <w:p w14:paraId="3E7B2556" w14:textId="77777777" w:rsidR="008E38CA" w:rsidRPr="00424CC2" w:rsidRDefault="00444136" w:rsidP="0091094A">
      <w:pPr>
        <w:rPr>
          <w:rFonts w:ascii="Arial" w:hAnsi="Arial" w:cs="Arial"/>
        </w:rPr>
      </w:pPr>
      <w:r w:rsidRPr="00424CC2">
        <w:rPr>
          <w:rFonts w:ascii="Arial" w:hAnsi="Arial" w:cs="Arial"/>
        </w:rPr>
        <w:t>A more democratic and useful approach would be to model to 2050, reducing uncertainty as much as possible</w:t>
      </w:r>
      <w:r w:rsidR="002676C8" w:rsidRPr="00424CC2">
        <w:rPr>
          <w:rFonts w:ascii="Arial" w:hAnsi="Arial" w:cs="Arial"/>
        </w:rPr>
        <w:t>,</w:t>
      </w:r>
      <w:r w:rsidRPr="00424CC2">
        <w:rPr>
          <w:rFonts w:ascii="Arial" w:hAnsi="Arial" w:cs="Arial"/>
        </w:rPr>
        <w:t xml:space="preserve"> and communicating the likely impact of the remaining uncertainty on the results</w:t>
      </w:r>
      <w:r w:rsidR="002B0D30" w:rsidRPr="00424CC2">
        <w:rPr>
          <w:rFonts w:ascii="Arial" w:hAnsi="Arial" w:cs="Arial"/>
        </w:rPr>
        <w:t xml:space="preserve"> in language which can be understood by a non-technical audience</w:t>
      </w:r>
      <w:r w:rsidRPr="00424CC2">
        <w:rPr>
          <w:rFonts w:ascii="Arial" w:hAnsi="Arial" w:cs="Arial"/>
        </w:rPr>
        <w:t>.</w:t>
      </w:r>
    </w:p>
    <w:p w14:paraId="15541E33" w14:textId="77777777" w:rsidR="00444136" w:rsidRPr="00424CC2" w:rsidRDefault="00444136" w:rsidP="0091094A">
      <w:pPr>
        <w:rPr>
          <w:rFonts w:ascii="Arial" w:hAnsi="Arial" w:cs="Arial"/>
        </w:rPr>
      </w:pPr>
    </w:p>
    <w:p w14:paraId="5717542E" w14:textId="77777777" w:rsidR="00A02BE4" w:rsidRPr="00424CC2" w:rsidRDefault="00A02BE4" w:rsidP="0091094A">
      <w:pPr>
        <w:rPr>
          <w:rFonts w:ascii="Arial" w:hAnsi="Arial" w:cs="Arial"/>
          <w:i/>
        </w:rPr>
      </w:pPr>
      <w:r w:rsidRPr="00424CC2">
        <w:rPr>
          <w:rFonts w:ascii="Arial" w:hAnsi="Arial" w:cs="Arial"/>
          <w:i/>
        </w:rPr>
        <w:t xml:space="preserve">Friends of the Earth Scotland strongly recommends that the scope of the review be extended from 2035 to 2050. </w:t>
      </w:r>
      <w:r w:rsidR="00444136" w:rsidRPr="00424CC2">
        <w:rPr>
          <w:rFonts w:ascii="Arial" w:hAnsi="Arial" w:cs="Arial"/>
          <w:i/>
        </w:rPr>
        <w:t xml:space="preserve">Uncertainties in the modelling should be reduced </w:t>
      </w:r>
      <w:r w:rsidR="00F2260E" w:rsidRPr="00424CC2">
        <w:rPr>
          <w:rFonts w:ascii="Arial" w:hAnsi="Arial" w:cs="Arial"/>
          <w:i/>
        </w:rPr>
        <w:t>and/</w:t>
      </w:r>
      <w:r w:rsidR="00444136" w:rsidRPr="00424CC2">
        <w:rPr>
          <w:rFonts w:ascii="Arial" w:hAnsi="Arial" w:cs="Arial"/>
          <w:i/>
        </w:rPr>
        <w:t xml:space="preserve">or understood using the methods outlined above. The </w:t>
      </w:r>
      <w:r w:rsidR="000C04F2">
        <w:rPr>
          <w:rFonts w:ascii="Arial" w:hAnsi="Arial" w:cs="Arial"/>
          <w:i/>
        </w:rPr>
        <w:t xml:space="preserve">likely </w:t>
      </w:r>
      <w:r w:rsidR="00444136" w:rsidRPr="00424CC2">
        <w:rPr>
          <w:rFonts w:ascii="Arial" w:hAnsi="Arial" w:cs="Arial"/>
          <w:i/>
        </w:rPr>
        <w:t>implications of the uncertainty of the results for decision making should be communicated to policy makers</w:t>
      </w:r>
      <w:r w:rsidR="000C04F2">
        <w:rPr>
          <w:rFonts w:ascii="Arial" w:hAnsi="Arial" w:cs="Arial"/>
          <w:i/>
        </w:rPr>
        <w:t xml:space="preserve"> so that they can make an informed decision on how to develop policy around the best possible information</w:t>
      </w:r>
      <w:r w:rsidR="00444136" w:rsidRPr="00424CC2">
        <w:rPr>
          <w:rFonts w:ascii="Arial" w:hAnsi="Arial" w:cs="Arial"/>
          <w:i/>
        </w:rPr>
        <w:t>.</w:t>
      </w:r>
    </w:p>
    <w:p w14:paraId="350557C1" w14:textId="77777777" w:rsidR="0091094A" w:rsidRDefault="0091094A" w:rsidP="0091094A">
      <w:pPr>
        <w:rPr>
          <w:rFonts w:ascii="Arial" w:hAnsi="Arial" w:cs="Arial"/>
        </w:rPr>
      </w:pPr>
    </w:p>
    <w:p w14:paraId="2904684C" w14:textId="77777777" w:rsidR="007953C7" w:rsidRPr="00424CC2" w:rsidRDefault="007953C7" w:rsidP="0091094A">
      <w:pPr>
        <w:rPr>
          <w:rFonts w:ascii="Arial" w:hAnsi="Arial" w:cs="Arial"/>
        </w:rPr>
      </w:pPr>
    </w:p>
    <w:p w14:paraId="2921F5A4" w14:textId="49DC49E3" w:rsidR="008153FB" w:rsidRPr="00424CC2" w:rsidRDefault="00210609" w:rsidP="00362F0E">
      <w:pPr>
        <w:pStyle w:val="Heading2"/>
      </w:pPr>
      <w:bookmarkStart w:id="5" w:name="_Toc115343397"/>
      <w:r>
        <w:lastRenderedPageBreak/>
        <w:t>1</w:t>
      </w:r>
      <w:r w:rsidR="00FC4B4B" w:rsidRPr="00424CC2">
        <w:t xml:space="preserve">.2 </w:t>
      </w:r>
      <w:r w:rsidR="000C04F2">
        <w:t>F</w:t>
      </w:r>
      <w:r w:rsidR="008153FB" w:rsidRPr="00424CC2">
        <w:t>uture grid decarbonisation scenarios</w:t>
      </w:r>
      <w:r w:rsidR="000C04F2">
        <w:t xml:space="preserve"> are not </w:t>
      </w:r>
      <w:r w:rsidR="00CB3A07">
        <w:t>considered extensively</w:t>
      </w:r>
      <w:bookmarkEnd w:id="5"/>
    </w:p>
    <w:p w14:paraId="16D959BD" w14:textId="5837036D" w:rsidR="000B453D" w:rsidRDefault="002B0D30" w:rsidP="002B0D30">
      <w:pPr>
        <w:rPr>
          <w:rFonts w:ascii="Arial" w:hAnsi="Arial" w:cs="Arial"/>
        </w:rPr>
      </w:pPr>
      <w:r w:rsidRPr="00424CC2">
        <w:rPr>
          <w:rFonts w:ascii="Arial" w:hAnsi="Arial" w:cs="Arial"/>
        </w:rPr>
        <w:t xml:space="preserve">A key factor in assessing the decarbonisation potential of </w:t>
      </w:r>
      <w:r w:rsidR="00CB3A07">
        <w:rPr>
          <w:rFonts w:ascii="Arial" w:hAnsi="Arial" w:cs="Arial"/>
        </w:rPr>
        <w:t>any technology</w:t>
      </w:r>
      <w:r w:rsidRPr="00424CC2">
        <w:rPr>
          <w:rFonts w:ascii="Arial" w:hAnsi="Arial" w:cs="Arial"/>
        </w:rPr>
        <w:t xml:space="preserve"> is </w:t>
      </w:r>
      <w:r w:rsidR="000B453D">
        <w:rPr>
          <w:rFonts w:ascii="Arial" w:hAnsi="Arial" w:cs="Arial"/>
        </w:rPr>
        <w:t xml:space="preserve">to compare </w:t>
      </w:r>
      <w:r w:rsidR="00CB3A07">
        <w:rPr>
          <w:rFonts w:ascii="Arial" w:hAnsi="Arial" w:cs="Arial"/>
        </w:rPr>
        <w:t>it</w:t>
      </w:r>
      <w:r w:rsidR="000B453D">
        <w:rPr>
          <w:rFonts w:ascii="Arial" w:hAnsi="Arial" w:cs="Arial"/>
        </w:rPr>
        <w:t xml:space="preserve"> to</w:t>
      </w:r>
      <w:r w:rsidRPr="00424CC2">
        <w:rPr>
          <w:rFonts w:ascii="Arial" w:hAnsi="Arial" w:cs="Arial"/>
        </w:rPr>
        <w:t xml:space="preserve"> </w:t>
      </w:r>
      <w:r w:rsidR="00CB3A07">
        <w:rPr>
          <w:rFonts w:ascii="Arial" w:hAnsi="Arial" w:cs="Arial"/>
        </w:rPr>
        <w:t xml:space="preserve">realistic </w:t>
      </w:r>
      <w:r w:rsidRPr="00424CC2">
        <w:rPr>
          <w:rFonts w:ascii="Arial" w:hAnsi="Arial" w:cs="Arial"/>
        </w:rPr>
        <w:t xml:space="preserve">alternative scenarios. For </w:t>
      </w:r>
      <w:r w:rsidR="000B453D">
        <w:rPr>
          <w:rFonts w:ascii="Arial" w:hAnsi="Arial" w:cs="Arial"/>
        </w:rPr>
        <w:t xml:space="preserve">electricity </w:t>
      </w:r>
      <w:r w:rsidRPr="00424CC2">
        <w:rPr>
          <w:rFonts w:ascii="Arial" w:hAnsi="Arial" w:cs="Arial"/>
        </w:rPr>
        <w:t xml:space="preserve">producing </w:t>
      </w:r>
      <w:r w:rsidR="00CB3A07">
        <w:rPr>
          <w:rFonts w:ascii="Arial" w:hAnsi="Arial" w:cs="Arial"/>
        </w:rPr>
        <w:t>technologies</w:t>
      </w:r>
      <w:r w:rsidRPr="00424CC2">
        <w:rPr>
          <w:rFonts w:ascii="Arial" w:hAnsi="Arial" w:cs="Arial"/>
        </w:rPr>
        <w:t xml:space="preserve">, the average carbon intensity of producing electricity </w:t>
      </w:r>
      <w:r w:rsidR="000B453D">
        <w:rPr>
          <w:rFonts w:ascii="Arial" w:hAnsi="Arial" w:cs="Arial"/>
        </w:rPr>
        <w:t xml:space="preserve">for the UK grid </w:t>
      </w:r>
      <w:r w:rsidRPr="00424CC2">
        <w:rPr>
          <w:rFonts w:ascii="Arial" w:hAnsi="Arial" w:cs="Arial"/>
        </w:rPr>
        <w:t xml:space="preserve">is often used as a comparison. </w:t>
      </w:r>
      <w:r w:rsidR="000B453D">
        <w:rPr>
          <w:rFonts w:ascii="Arial" w:hAnsi="Arial" w:cs="Arial"/>
        </w:rPr>
        <w:t xml:space="preserve">For heat, the carbon intensity of running gas boilers has been used as an alternative scenario in the past but experts are increasingly recognising that </w:t>
      </w:r>
      <w:r w:rsidR="00CB3A07">
        <w:rPr>
          <w:rFonts w:ascii="Arial" w:hAnsi="Arial" w:cs="Arial"/>
        </w:rPr>
        <w:t xml:space="preserve">the carbon intensity of </w:t>
      </w:r>
      <w:r w:rsidR="000B453D">
        <w:rPr>
          <w:rFonts w:ascii="Arial" w:hAnsi="Arial" w:cs="Arial"/>
        </w:rPr>
        <w:t>heat pumps and district heating schemes are more realistic alternative</w:t>
      </w:r>
      <w:r w:rsidR="00CB3A07">
        <w:rPr>
          <w:rFonts w:ascii="Arial" w:hAnsi="Arial" w:cs="Arial"/>
        </w:rPr>
        <w:t xml:space="preserve"> scenarios</w:t>
      </w:r>
      <w:r w:rsidR="004410EA">
        <w:rPr>
          <w:rFonts w:ascii="Arial" w:hAnsi="Arial" w:cs="Arial"/>
        </w:rPr>
        <w:t xml:space="preserve"> for the future</w:t>
      </w:r>
      <w:r w:rsidR="000B453D">
        <w:rPr>
          <w:rFonts w:ascii="Arial" w:hAnsi="Arial" w:cs="Arial"/>
        </w:rPr>
        <w:t xml:space="preserve">. </w:t>
      </w:r>
    </w:p>
    <w:p w14:paraId="2B54743D" w14:textId="77777777" w:rsidR="000B453D" w:rsidRDefault="000B453D" w:rsidP="002B0D30">
      <w:pPr>
        <w:rPr>
          <w:rFonts w:ascii="Arial" w:hAnsi="Arial" w:cs="Arial"/>
        </w:rPr>
      </w:pPr>
    </w:p>
    <w:p w14:paraId="61FC1410" w14:textId="77777777" w:rsidR="002B0D30" w:rsidRPr="00424CC2" w:rsidRDefault="000B453D" w:rsidP="002B0D30">
      <w:pPr>
        <w:rPr>
          <w:rFonts w:ascii="Arial" w:hAnsi="Arial" w:cs="Arial"/>
        </w:rPr>
      </w:pPr>
      <w:r>
        <w:rPr>
          <w:rFonts w:ascii="Arial" w:hAnsi="Arial" w:cs="Arial"/>
        </w:rPr>
        <w:t>T</w:t>
      </w:r>
      <w:r w:rsidR="002B0D30" w:rsidRPr="00424CC2">
        <w:rPr>
          <w:rFonts w:ascii="Arial" w:hAnsi="Arial" w:cs="Arial"/>
        </w:rPr>
        <w:t xml:space="preserve">he Zero Waste Scotland </w:t>
      </w:r>
      <w:r w:rsidR="00DD598E">
        <w:rPr>
          <w:rFonts w:ascii="Arial" w:hAnsi="Arial" w:cs="Arial"/>
        </w:rPr>
        <w:t>incineration report</w:t>
      </w:r>
      <w:r w:rsidR="001B2813">
        <w:rPr>
          <w:rStyle w:val="FootnoteReference"/>
          <w:rFonts w:ascii="Arial" w:hAnsi="Arial" w:cs="Arial"/>
        </w:rPr>
        <w:footnoteReference w:id="2"/>
      </w:r>
      <w:r w:rsidR="002B0D30" w:rsidRPr="00424CC2">
        <w:rPr>
          <w:rFonts w:ascii="Arial" w:hAnsi="Arial" w:cs="Arial"/>
        </w:rPr>
        <w:t xml:space="preserve"> on the carbon impacts of incineration found that burning residual municipal waste in EfW plants in Scotland in 2018, had an average carbon intensity of 509 gCO</w:t>
      </w:r>
      <w:r w:rsidR="002B0D30" w:rsidRPr="000B453D">
        <w:rPr>
          <w:rFonts w:ascii="Arial" w:hAnsi="Arial" w:cs="Arial"/>
          <w:vertAlign w:val="subscript"/>
        </w:rPr>
        <w:t>2</w:t>
      </w:r>
      <w:r w:rsidR="002B0D30" w:rsidRPr="00424CC2">
        <w:rPr>
          <w:rFonts w:ascii="Arial" w:hAnsi="Arial" w:cs="Arial"/>
        </w:rPr>
        <w:t>/kWh</w:t>
      </w:r>
      <w:r w:rsidR="001B2813">
        <w:rPr>
          <w:rFonts w:ascii="Arial" w:hAnsi="Arial" w:cs="Arial"/>
        </w:rPr>
        <w:t xml:space="preserve"> (Figure 15)</w:t>
      </w:r>
      <w:r w:rsidR="002B0D30" w:rsidRPr="00424CC2">
        <w:rPr>
          <w:rFonts w:ascii="Arial" w:hAnsi="Arial" w:cs="Arial"/>
        </w:rPr>
        <w:t>. This was nearly twice as high as the carbon intensity of the marginal electricity grid for the UK in 2018, which was 270 gCO</w:t>
      </w:r>
      <w:r w:rsidR="002B0D30" w:rsidRPr="000B453D">
        <w:rPr>
          <w:rFonts w:ascii="Arial" w:hAnsi="Arial" w:cs="Arial"/>
          <w:vertAlign w:val="subscript"/>
        </w:rPr>
        <w:t>2</w:t>
      </w:r>
      <w:r w:rsidR="002B0D30" w:rsidRPr="00424CC2">
        <w:rPr>
          <w:rFonts w:ascii="Arial" w:hAnsi="Arial" w:cs="Arial"/>
        </w:rPr>
        <w:t xml:space="preserve">e/kWh. </w:t>
      </w:r>
    </w:p>
    <w:p w14:paraId="1E9A83BB" w14:textId="77777777" w:rsidR="002B0D30" w:rsidRPr="00424CC2" w:rsidRDefault="002B0D30" w:rsidP="002B0D30">
      <w:pPr>
        <w:rPr>
          <w:rFonts w:ascii="Arial" w:hAnsi="Arial" w:cs="Arial"/>
        </w:rPr>
      </w:pPr>
    </w:p>
    <w:p w14:paraId="28BC4F36" w14:textId="77777777" w:rsidR="00004804" w:rsidRDefault="002B0D30" w:rsidP="0091094A">
      <w:pPr>
        <w:rPr>
          <w:rFonts w:ascii="Arial" w:hAnsi="Arial" w:cs="Arial"/>
        </w:rPr>
      </w:pPr>
      <w:r w:rsidRPr="00424CC2">
        <w:rPr>
          <w:rFonts w:ascii="Arial" w:hAnsi="Arial" w:cs="Arial"/>
        </w:rPr>
        <w:t>Four years later and the UK grid average carbon intensity has fallen</w:t>
      </w:r>
      <w:r w:rsidR="00837048" w:rsidRPr="00424CC2">
        <w:rPr>
          <w:rFonts w:ascii="Arial" w:hAnsi="Arial" w:cs="Arial"/>
        </w:rPr>
        <w:t xml:space="preserve"> 29%</w:t>
      </w:r>
      <w:r w:rsidRPr="00424CC2">
        <w:rPr>
          <w:rFonts w:ascii="Arial" w:hAnsi="Arial" w:cs="Arial"/>
        </w:rPr>
        <w:t xml:space="preserve"> to 193 gCO</w:t>
      </w:r>
      <w:r w:rsidRPr="000B453D">
        <w:rPr>
          <w:rFonts w:ascii="Arial" w:hAnsi="Arial" w:cs="Arial"/>
          <w:vertAlign w:val="subscript"/>
        </w:rPr>
        <w:t>2</w:t>
      </w:r>
      <w:r w:rsidRPr="00424CC2">
        <w:rPr>
          <w:rFonts w:ascii="Arial" w:hAnsi="Arial" w:cs="Arial"/>
        </w:rPr>
        <w:t xml:space="preserve">/kWh, whilst there is no evidence to suggest the carbon intensity of </w:t>
      </w:r>
      <w:r w:rsidR="00CB3A07">
        <w:rPr>
          <w:rFonts w:ascii="Arial" w:hAnsi="Arial" w:cs="Arial"/>
        </w:rPr>
        <w:t xml:space="preserve">electricity-producing </w:t>
      </w:r>
      <w:r w:rsidRPr="00424CC2">
        <w:rPr>
          <w:rFonts w:ascii="Arial" w:hAnsi="Arial" w:cs="Arial"/>
        </w:rPr>
        <w:t xml:space="preserve">incinerators have changed. </w:t>
      </w:r>
      <w:r w:rsidR="00837048" w:rsidRPr="00424CC2">
        <w:rPr>
          <w:rFonts w:ascii="Arial" w:hAnsi="Arial" w:cs="Arial"/>
        </w:rPr>
        <w:t>The grid average will continue to reduce to 50 gCO</w:t>
      </w:r>
      <w:r w:rsidR="00837048" w:rsidRPr="000B453D">
        <w:rPr>
          <w:rFonts w:ascii="Arial" w:hAnsi="Arial" w:cs="Arial"/>
          <w:vertAlign w:val="subscript"/>
        </w:rPr>
        <w:t>2</w:t>
      </w:r>
      <w:r w:rsidR="00837048" w:rsidRPr="00424CC2">
        <w:rPr>
          <w:rFonts w:ascii="Arial" w:hAnsi="Arial" w:cs="Arial"/>
        </w:rPr>
        <w:t>e/kWh by 2030</w:t>
      </w:r>
      <w:r w:rsidR="00D13776" w:rsidRPr="00424CC2">
        <w:rPr>
          <w:rStyle w:val="FootnoteReference"/>
          <w:rFonts w:ascii="Arial" w:hAnsi="Arial" w:cs="Arial"/>
        </w:rPr>
        <w:footnoteReference w:id="3"/>
      </w:r>
      <w:r w:rsidR="00837048" w:rsidRPr="00424CC2">
        <w:rPr>
          <w:rFonts w:ascii="Arial" w:hAnsi="Arial" w:cs="Arial"/>
        </w:rPr>
        <w:t xml:space="preserve"> and, after that, </w:t>
      </w:r>
      <w:r w:rsidR="000B453D">
        <w:rPr>
          <w:rFonts w:ascii="Arial" w:hAnsi="Arial" w:cs="Arial"/>
        </w:rPr>
        <w:t xml:space="preserve">it will reduce </w:t>
      </w:r>
      <w:r w:rsidR="00837048" w:rsidRPr="00424CC2">
        <w:rPr>
          <w:rFonts w:ascii="Arial" w:hAnsi="Arial" w:cs="Arial"/>
        </w:rPr>
        <w:t xml:space="preserve">even </w:t>
      </w:r>
      <w:r w:rsidR="000B453D">
        <w:rPr>
          <w:rFonts w:ascii="Arial" w:hAnsi="Arial" w:cs="Arial"/>
        </w:rPr>
        <w:t>further</w:t>
      </w:r>
      <w:r w:rsidR="00837048" w:rsidRPr="00424CC2">
        <w:rPr>
          <w:rFonts w:ascii="Arial" w:hAnsi="Arial" w:cs="Arial"/>
        </w:rPr>
        <w:t>.</w:t>
      </w:r>
      <w:r w:rsidR="00CB3A07">
        <w:rPr>
          <w:rFonts w:ascii="Arial" w:hAnsi="Arial" w:cs="Arial"/>
        </w:rPr>
        <w:t xml:space="preserve"> Scotland’s incinerators (none of which have become CHPs since the publication of the ZWS report) will become an increasingly obvious outlier as a carbon intensive way of making electricity.</w:t>
      </w:r>
    </w:p>
    <w:p w14:paraId="5B379FE2" w14:textId="77777777" w:rsidR="00004804" w:rsidRDefault="00004804" w:rsidP="0091094A">
      <w:pPr>
        <w:rPr>
          <w:rFonts w:ascii="Arial" w:hAnsi="Arial" w:cs="Arial"/>
        </w:rPr>
      </w:pPr>
    </w:p>
    <w:p w14:paraId="7FFD9610" w14:textId="77777777" w:rsidR="001B2813" w:rsidRDefault="00004804" w:rsidP="0091094A">
      <w:pPr>
        <w:rPr>
          <w:rFonts w:ascii="Arial" w:hAnsi="Arial" w:cs="Arial"/>
        </w:rPr>
      </w:pPr>
      <w:r>
        <w:rPr>
          <w:rFonts w:ascii="Arial" w:hAnsi="Arial" w:cs="Arial"/>
        </w:rPr>
        <w:t>T</w:t>
      </w:r>
      <w:r w:rsidR="000B453D">
        <w:rPr>
          <w:rFonts w:ascii="Arial" w:hAnsi="Arial" w:cs="Arial"/>
        </w:rPr>
        <w:t>he</w:t>
      </w:r>
      <w:r w:rsidR="001B2813">
        <w:rPr>
          <w:rFonts w:ascii="Arial" w:hAnsi="Arial" w:cs="Arial"/>
        </w:rPr>
        <w:t xml:space="preserve"> Zero Waste Scotland</w:t>
      </w:r>
      <w:r w:rsidR="00DD598E">
        <w:rPr>
          <w:rFonts w:ascii="Arial" w:hAnsi="Arial" w:cs="Arial"/>
        </w:rPr>
        <w:t xml:space="preserve"> incineration</w:t>
      </w:r>
      <w:r w:rsidR="001B2813">
        <w:rPr>
          <w:rFonts w:ascii="Arial" w:hAnsi="Arial" w:cs="Arial"/>
        </w:rPr>
        <w:t xml:space="preserve"> report uses a gas boiler as an alternative scenario for heat and shows that producing heat by burning gas is 18% lower carbon emissions than burning waste</w:t>
      </w:r>
      <w:r w:rsidR="001B2813">
        <w:rPr>
          <w:rStyle w:val="FootnoteReference"/>
          <w:rFonts w:ascii="Arial" w:hAnsi="Arial" w:cs="Arial"/>
        </w:rPr>
        <w:footnoteReference w:id="4"/>
      </w:r>
      <w:r w:rsidR="001B2813">
        <w:rPr>
          <w:rFonts w:ascii="Arial" w:hAnsi="Arial" w:cs="Arial"/>
        </w:rPr>
        <w:t>.</w:t>
      </w:r>
      <w:r w:rsidR="000B453D">
        <w:rPr>
          <w:rFonts w:ascii="Arial" w:hAnsi="Arial" w:cs="Arial"/>
        </w:rPr>
        <w:t xml:space="preserve"> </w:t>
      </w:r>
      <w:r w:rsidR="001B2813">
        <w:rPr>
          <w:rFonts w:ascii="Arial" w:hAnsi="Arial" w:cs="Arial"/>
        </w:rPr>
        <w:t>Some life cycle analyses put heat pumps at half the carbon intensity of gas boilers</w:t>
      </w:r>
      <w:r w:rsidR="001B2813">
        <w:rPr>
          <w:rStyle w:val="FootnoteReference"/>
          <w:rFonts w:ascii="Arial" w:hAnsi="Arial" w:cs="Arial"/>
        </w:rPr>
        <w:footnoteReference w:id="5"/>
      </w:r>
      <w:r w:rsidR="001B2813">
        <w:rPr>
          <w:rFonts w:ascii="Arial" w:hAnsi="Arial" w:cs="Arial"/>
        </w:rPr>
        <w:t xml:space="preserve">, so, like electricity, heat produced </w:t>
      </w:r>
      <w:r w:rsidR="00CB3A07">
        <w:rPr>
          <w:rFonts w:ascii="Arial" w:hAnsi="Arial" w:cs="Arial"/>
        </w:rPr>
        <w:t>in</w:t>
      </w:r>
      <w:r w:rsidR="001B2813">
        <w:rPr>
          <w:rFonts w:ascii="Arial" w:hAnsi="Arial" w:cs="Arial"/>
        </w:rPr>
        <w:t xml:space="preserve"> incinerators will compare increasingly poorly to the alternative over time.</w:t>
      </w:r>
    </w:p>
    <w:p w14:paraId="3E72D268" w14:textId="77777777" w:rsidR="001B2813" w:rsidRDefault="001B2813" w:rsidP="0091094A">
      <w:pPr>
        <w:rPr>
          <w:rFonts w:ascii="Arial" w:hAnsi="Arial" w:cs="Arial"/>
          <w:b/>
        </w:rPr>
      </w:pPr>
    </w:p>
    <w:p w14:paraId="55FEBD84" w14:textId="21C14156" w:rsidR="008153FB" w:rsidRDefault="00837048" w:rsidP="0091094A">
      <w:pPr>
        <w:rPr>
          <w:rFonts w:ascii="Arial" w:hAnsi="Arial" w:cs="Arial"/>
        </w:rPr>
      </w:pPr>
      <w:r w:rsidRPr="000B453D">
        <w:rPr>
          <w:rFonts w:ascii="Arial" w:hAnsi="Arial" w:cs="Arial"/>
          <w:b/>
        </w:rPr>
        <w:t xml:space="preserve">Incineration is </w:t>
      </w:r>
      <w:r w:rsidR="00CB3A07">
        <w:rPr>
          <w:rFonts w:ascii="Arial" w:hAnsi="Arial" w:cs="Arial"/>
          <w:b/>
        </w:rPr>
        <w:t>a</w:t>
      </w:r>
      <w:r w:rsidR="00FA41FA">
        <w:rPr>
          <w:rFonts w:ascii="Arial" w:hAnsi="Arial" w:cs="Arial"/>
          <w:b/>
        </w:rPr>
        <w:t>lready</w:t>
      </w:r>
      <w:r w:rsidR="00CB3A07">
        <w:rPr>
          <w:rFonts w:ascii="Arial" w:hAnsi="Arial" w:cs="Arial"/>
          <w:b/>
        </w:rPr>
        <w:t xml:space="preserve"> </w:t>
      </w:r>
      <w:r w:rsidR="005A3AB0">
        <w:rPr>
          <w:rFonts w:ascii="Arial" w:hAnsi="Arial" w:cs="Arial"/>
          <w:b/>
        </w:rPr>
        <w:t xml:space="preserve">a </w:t>
      </w:r>
      <w:r w:rsidRPr="000B453D">
        <w:rPr>
          <w:rFonts w:ascii="Arial" w:hAnsi="Arial" w:cs="Arial"/>
          <w:b/>
        </w:rPr>
        <w:t>high-carbon outlier</w:t>
      </w:r>
      <w:r w:rsidR="000B453D" w:rsidRPr="000B453D">
        <w:rPr>
          <w:rFonts w:ascii="Arial" w:hAnsi="Arial" w:cs="Arial"/>
          <w:b/>
        </w:rPr>
        <w:t xml:space="preserve"> for </w:t>
      </w:r>
      <w:r w:rsidR="00004804">
        <w:rPr>
          <w:rFonts w:ascii="Arial" w:hAnsi="Arial" w:cs="Arial"/>
          <w:b/>
        </w:rPr>
        <w:t>both electricity and heat</w:t>
      </w:r>
      <w:r w:rsidR="000B453D" w:rsidRPr="000B453D">
        <w:rPr>
          <w:rFonts w:ascii="Arial" w:hAnsi="Arial" w:cs="Arial"/>
          <w:b/>
        </w:rPr>
        <w:t xml:space="preserve"> production</w:t>
      </w:r>
      <w:r w:rsidR="00CB3A07">
        <w:rPr>
          <w:rFonts w:ascii="Arial" w:hAnsi="Arial" w:cs="Arial"/>
          <w:b/>
        </w:rPr>
        <w:t xml:space="preserve"> and the gap between </w:t>
      </w:r>
      <w:r w:rsidR="00FA41FA">
        <w:rPr>
          <w:rFonts w:ascii="Arial" w:hAnsi="Arial" w:cs="Arial"/>
          <w:b/>
        </w:rPr>
        <w:t>average energy production and incinerators will only increase as decarbonisation of energy systems continue</w:t>
      </w:r>
      <w:r w:rsidRPr="00424CC2">
        <w:rPr>
          <w:rFonts w:ascii="Arial" w:hAnsi="Arial" w:cs="Arial"/>
        </w:rPr>
        <w:t xml:space="preserve">. Eunomia </w:t>
      </w:r>
      <w:r w:rsidR="00D13776" w:rsidRPr="00424CC2">
        <w:rPr>
          <w:rFonts w:ascii="Arial" w:hAnsi="Arial" w:cs="Arial"/>
        </w:rPr>
        <w:t xml:space="preserve">must therefore consider, not only a comparison of incinerator carbon intensity to today’s electricity grid, but also to how </w:t>
      </w:r>
      <w:r w:rsidR="001B2813">
        <w:rPr>
          <w:rFonts w:ascii="Arial" w:hAnsi="Arial" w:cs="Arial"/>
        </w:rPr>
        <w:t>energy production is expected t</w:t>
      </w:r>
      <w:r w:rsidR="00D13776" w:rsidRPr="00424CC2">
        <w:rPr>
          <w:rFonts w:ascii="Arial" w:hAnsi="Arial" w:cs="Arial"/>
        </w:rPr>
        <w:t>o change over time.</w:t>
      </w:r>
    </w:p>
    <w:p w14:paraId="0DF4525E" w14:textId="7108969E" w:rsidR="00721E9A" w:rsidRDefault="00721E9A" w:rsidP="0091094A">
      <w:pPr>
        <w:rPr>
          <w:rFonts w:ascii="Arial" w:hAnsi="Arial" w:cs="Arial"/>
        </w:rPr>
      </w:pPr>
    </w:p>
    <w:p w14:paraId="71872D9F" w14:textId="2C29992B" w:rsidR="00721E9A" w:rsidRPr="00884B43" w:rsidRDefault="00721E9A" w:rsidP="00721E9A">
      <w:pPr>
        <w:pStyle w:val="NormalWeb"/>
        <w:rPr>
          <w:rFonts w:ascii="Arial" w:hAnsi="Arial" w:cs="Arial"/>
        </w:rPr>
      </w:pPr>
      <w:r>
        <w:rPr>
          <w:rFonts w:ascii="Arial" w:hAnsi="Arial" w:cs="Arial"/>
        </w:rPr>
        <w:t xml:space="preserve">We note that Scottish Government statements on the carbon intensity of incinerators compared to other energy generating technology are inconsistent with the evidence provided by their </w:t>
      </w:r>
      <w:r w:rsidR="00884B43">
        <w:rPr>
          <w:rFonts w:ascii="Arial" w:hAnsi="Arial" w:cs="Arial"/>
        </w:rPr>
        <w:t>ow</w:t>
      </w:r>
      <w:r>
        <w:rPr>
          <w:rFonts w:ascii="Arial" w:hAnsi="Arial" w:cs="Arial"/>
        </w:rPr>
        <w:t xml:space="preserve">n advisory bodies. In Zero Waste Scotland’s </w:t>
      </w:r>
      <w:r w:rsidR="00884B43">
        <w:rPr>
          <w:rFonts w:ascii="Arial" w:hAnsi="Arial" w:cs="Arial"/>
        </w:rPr>
        <w:t xml:space="preserve">2021 </w:t>
      </w:r>
      <w:r>
        <w:rPr>
          <w:rFonts w:ascii="Arial" w:hAnsi="Arial" w:cs="Arial"/>
        </w:rPr>
        <w:t>report on the c</w:t>
      </w:r>
      <w:r w:rsidR="00E80344">
        <w:rPr>
          <w:rFonts w:ascii="Arial" w:hAnsi="Arial" w:cs="Arial"/>
        </w:rPr>
        <w:t>limate</w:t>
      </w:r>
      <w:r>
        <w:rPr>
          <w:rFonts w:ascii="Arial" w:hAnsi="Arial" w:cs="Arial"/>
        </w:rPr>
        <w:t xml:space="preserve"> impacts of incineration</w:t>
      </w:r>
      <w:r w:rsidR="00E80344">
        <w:rPr>
          <w:rStyle w:val="FootnoteReference"/>
          <w:rFonts w:ascii="Arial" w:hAnsi="Arial" w:cs="Arial"/>
        </w:rPr>
        <w:footnoteReference w:id="6"/>
      </w:r>
      <w:r>
        <w:rPr>
          <w:rFonts w:ascii="Arial" w:hAnsi="Arial" w:cs="Arial"/>
        </w:rPr>
        <w:t>, one of the main conclusions was “</w:t>
      </w:r>
      <w:r w:rsidRPr="00884B43">
        <w:rPr>
          <w:rFonts w:ascii="Arial" w:hAnsi="Arial" w:cs="Arial"/>
        </w:rPr>
        <w:t xml:space="preserve">EfW can no longer be considered a source of low carbon energy”. However, in a reply </w:t>
      </w:r>
      <w:r w:rsidR="00E80344">
        <w:rPr>
          <w:rFonts w:ascii="Arial" w:hAnsi="Arial" w:cs="Arial"/>
        </w:rPr>
        <w:t>to a</w:t>
      </w:r>
      <w:r w:rsidRPr="00884B43">
        <w:rPr>
          <w:rFonts w:ascii="Arial" w:hAnsi="Arial" w:cs="Arial"/>
        </w:rPr>
        <w:t xml:space="preserve"> </w:t>
      </w:r>
      <w:r w:rsidRPr="00884B43">
        <w:rPr>
          <w:rFonts w:ascii="Arial" w:hAnsi="Arial" w:cs="Arial"/>
        </w:rPr>
        <w:lastRenderedPageBreak/>
        <w:t xml:space="preserve">parliamentary question from Mark </w:t>
      </w:r>
      <w:proofErr w:type="spellStart"/>
      <w:r w:rsidRPr="00884B43">
        <w:rPr>
          <w:rFonts w:ascii="Arial" w:hAnsi="Arial" w:cs="Arial"/>
        </w:rPr>
        <w:t>Ruskell</w:t>
      </w:r>
      <w:proofErr w:type="spellEnd"/>
      <w:r w:rsidRPr="00884B43">
        <w:rPr>
          <w:rFonts w:ascii="Arial" w:hAnsi="Arial" w:cs="Arial"/>
        </w:rPr>
        <w:t xml:space="preserve"> </w:t>
      </w:r>
      <w:r w:rsidR="00884B43">
        <w:rPr>
          <w:rFonts w:ascii="Arial" w:hAnsi="Arial" w:cs="Arial"/>
        </w:rPr>
        <w:t>in September 2022</w:t>
      </w:r>
      <w:r w:rsidR="00B90FE8">
        <w:rPr>
          <w:rFonts w:ascii="Arial" w:hAnsi="Arial" w:cs="Arial"/>
        </w:rPr>
        <w:t>,</w:t>
      </w:r>
      <w:r w:rsidR="00884B43">
        <w:rPr>
          <w:rFonts w:ascii="Arial" w:hAnsi="Arial" w:cs="Arial"/>
        </w:rPr>
        <w:t xml:space="preserve"> </w:t>
      </w:r>
      <w:r w:rsidRPr="00884B43">
        <w:rPr>
          <w:rFonts w:ascii="Arial" w:hAnsi="Arial" w:cs="Arial"/>
        </w:rPr>
        <w:t>on the l</w:t>
      </w:r>
      <w:r w:rsidR="00884B43" w:rsidRPr="00884B43">
        <w:rPr>
          <w:rFonts w:ascii="Arial" w:hAnsi="Arial" w:cs="Arial"/>
        </w:rPr>
        <w:t>e</w:t>
      </w:r>
      <w:r w:rsidRPr="00884B43">
        <w:rPr>
          <w:rFonts w:ascii="Arial" w:hAnsi="Arial" w:cs="Arial"/>
        </w:rPr>
        <w:t xml:space="preserve">vel of carbon production associate with energy generation </w:t>
      </w:r>
      <w:r w:rsidR="00884B43" w:rsidRPr="00884B43">
        <w:rPr>
          <w:rFonts w:ascii="Arial" w:hAnsi="Arial" w:cs="Arial"/>
        </w:rPr>
        <w:t>considered</w:t>
      </w:r>
      <w:r w:rsidRPr="00884B43">
        <w:rPr>
          <w:rFonts w:ascii="Arial" w:hAnsi="Arial" w:cs="Arial"/>
        </w:rPr>
        <w:t xml:space="preserve"> to be low-carbon, the Scottish Government lists energy from waste as a low carbon technology</w:t>
      </w:r>
      <w:r w:rsidR="00884B43" w:rsidRPr="00884B43">
        <w:rPr>
          <w:rStyle w:val="FootnoteReference"/>
          <w:rFonts w:ascii="Arial" w:eastAsia="Times New Roman" w:hAnsi="Arial" w:cs="Arial"/>
          <w:sz w:val="20"/>
          <w:szCs w:val="20"/>
        </w:rPr>
        <w:footnoteReference w:id="7"/>
      </w:r>
      <w:r w:rsidRPr="00884B43">
        <w:rPr>
          <w:rFonts w:ascii="Arial" w:eastAsia="Times New Roman" w:hAnsi="Arial" w:cs="Arial"/>
          <w:sz w:val="20"/>
          <w:szCs w:val="20"/>
        </w:rPr>
        <w:t xml:space="preserve">. </w:t>
      </w:r>
      <w:r w:rsidR="00884B43" w:rsidRPr="00884B43">
        <w:rPr>
          <w:rFonts w:ascii="Arial" w:hAnsi="Arial" w:cs="Arial"/>
        </w:rPr>
        <w:t>If the carbon intensity of incinerators, even with CHP, is above the average carbon intensity of alternatives, it cannot and should not be classified as low carbon.</w:t>
      </w:r>
      <w:r w:rsidR="00884B43">
        <w:rPr>
          <w:rFonts w:ascii="Arial" w:hAnsi="Arial" w:cs="Arial"/>
        </w:rPr>
        <w:t xml:space="preserve"> To do so is highly misleading.</w:t>
      </w:r>
    </w:p>
    <w:p w14:paraId="28B953B6" w14:textId="77777777" w:rsidR="00D13776" w:rsidRPr="00424CC2" w:rsidRDefault="00D13776" w:rsidP="0091094A">
      <w:pPr>
        <w:rPr>
          <w:rFonts w:ascii="Arial" w:hAnsi="Arial" w:cs="Arial"/>
        </w:rPr>
      </w:pPr>
    </w:p>
    <w:p w14:paraId="68CD3007" w14:textId="50A69436" w:rsidR="00D13776" w:rsidRDefault="00D13776" w:rsidP="0091094A">
      <w:pPr>
        <w:rPr>
          <w:rFonts w:ascii="Arial" w:hAnsi="Arial" w:cs="Arial"/>
          <w:i/>
        </w:rPr>
      </w:pPr>
      <w:r w:rsidRPr="00424CC2">
        <w:rPr>
          <w:rFonts w:ascii="Arial" w:hAnsi="Arial" w:cs="Arial"/>
          <w:i/>
        </w:rPr>
        <w:t>Friends of the Earth Scotland recommends that Eunomia c</w:t>
      </w:r>
      <w:r w:rsidR="000B453D">
        <w:rPr>
          <w:rFonts w:ascii="Arial" w:hAnsi="Arial" w:cs="Arial"/>
          <w:i/>
        </w:rPr>
        <w:t xml:space="preserve">ompare </w:t>
      </w:r>
      <w:r w:rsidRPr="00424CC2">
        <w:rPr>
          <w:rFonts w:ascii="Arial" w:hAnsi="Arial" w:cs="Arial"/>
          <w:i/>
        </w:rPr>
        <w:t xml:space="preserve">the carbon intensity of Scotland’s incinerators to the UK </w:t>
      </w:r>
      <w:r w:rsidR="000B453D">
        <w:rPr>
          <w:rFonts w:ascii="Arial" w:hAnsi="Arial" w:cs="Arial"/>
          <w:i/>
        </w:rPr>
        <w:t xml:space="preserve">electricity </w:t>
      </w:r>
      <w:r w:rsidRPr="00424CC2">
        <w:rPr>
          <w:rFonts w:ascii="Arial" w:hAnsi="Arial" w:cs="Arial"/>
          <w:i/>
        </w:rPr>
        <w:t xml:space="preserve">grid </w:t>
      </w:r>
      <w:r w:rsidR="000B453D">
        <w:rPr>
          <w:rFonts w:ascii="Arial" w:hAnsi="Arial" w:cs="Arial"/>
          <w:i/>
        </w:rPr>
        <w:t xml:space="preserve">from 2022-2050 and the carbon intensity of heat pumps or district heating schemes, where a heat network </w:t>
      </w:r>
      <w:r w:rsidR="00065269">
        <w:rPr>
          <w:rFonts w:ascii="Arial" w:hAnsi="Arial" w:cs="Arial"/>
          <w:i/>
        </w:rPr>
        <w:t>could be</w:t>
      </w:r>
      <w:r w:rsidR="000B453D">
        <w:rPr>
          <w:rFonts w:ascii="Arial" w:hAnsi="Arial" w:cs="Arial"/>
          <w:i/>
        </w:rPr>
        <w:t xml:space="preserve"> considered</w:t>
      </w:r>
      <w:r w:rsidRPr="00424CC2">
        <w:rPr>
          <w:rFonts w:ascii="Arial" w:hAnsi="Arial" w:cs="Arial"/>
          <w:i/>
        </w:rPr>
        <w:t>.</w:t>
      </w:r>
    </w:p>
    <w:p w14:paraId="2190AC18" w14:textId="4626CB57" w:rsidR="00884B43" w:rsidRDefault="00884B43" w:rsidP="0091094A">
      <w:pPr>
        <w:rPr>
          <w:rFonts w:ascii="Arial" w:hAnsi="Arial" w:cs="Arial"/>
          <w:i/>
        </w:rPr>
      </w:pPr>
    </w:p>
    <w:p w14:paraId="5953B267" w14:textId="04ED1808" w:rsidR="00884B43" w:rsidRPr="00424CC2" w:rsidRDefault="00884B43" w:rsidP="0091094A">
      <w:pPr>
        <w:rPr>
          <w:rFonts w:ascii="Arial" w:hAnsi="Arial" w:cs="Arial"/>
          <w:i/>
        </w:rPr>
      </w:pPr>
      <w:r>
        <w:rPr>
          <w:rFonts w:ascii="Arial" w:hAnsi="Arial" w:cs="Arial"/>
          <w:i/>
        </w:rPr>
        <w:t>Friends of the Earth Scotland strongly recommends that the Scottish Government stops referring to incineration as low carbon.</w:t>
      </w:r>
    </w:p>
    <w:p w14:paraId="22B85E40" w14:textId="51ACA23D" w:rsidR="002B0D30" w:rsidRDefault="002B0D30" w:rsidP="0091094A">
      <w:pPr>
        <w:rPr>
          <w:rFonts w:ascii="Arial" w:hAnsi="Arial" w:cs="Arial"/>
        </w:rPr>
      </w:pPr>
    </w:p>
    <w:p w14:paraId="1A2989A3" w14:textId="76A7711E" w:rsidR="00210609" w:rsidRPr="00210609" w:rsidRDefault="00210609" w:rsidP="00210609">
      <w:pPr>
        <w:pStyle w:val="Heading2"/>
        <w:rPr>
          <w:rFonts w:cs="Arial"/>
        </w:rPr>
      </w:pPr>
      <w:bookmarkStart w:id="6" w:name="_Toc115343398"/>
      <w:r>
        <w:rPr>
          <w:rFonts w:cs="Arial"/>
        </w:rPr>
        <w:t xml:space="preserve">1.3 </w:t>
      </w:r>
      <w:r w:rsidRPr="00424CC2">
        <w:t xml:space="preserve">Timings of the </w:t>
      </w:r>
      <w:r>
        <w:t>D</w:t>
      </w:r>
      <w:r w:rsidRPr="00424CC2">
        <w:t xml:space="preserve">ecarbonisation </w:t>
      </w:r>
      <w:r>
        <w:t>Study</w:t>
      </w:r>
      <w:bookmarkEnd w:id="6"/>
    </w:p>
    <w:p w14:paraId="4692016A" w14:textId="232E9683" w:rsidR="00210609" w:rsidRDefault="00210609" w:rsidP="00210609">
      <w:pPr>
        <w:rPr>
          <w:rFonts w:ascii="Arial" w:hAnsi="Arial" w:cs="Arial"/>
        </w:rPr>
      </w:pPr>
      <w:r w:rsidRPr="00424CC2">
        <w:rPr>
          <w:rFonts w:ascii="Arial" w:hAnsi="Arial" w:cs="Arial"/>
        </w:rPr>
        <w:t xml:space="preserve">This study </w:t>
      </w:r>
      <w:r>
        <w:rPr>
          <w:rFonts w:ascii="Arial" w:hAnsi="Arial" w:cs="Arial"/>
        </w:rPr>
        <w:t>would have been more useful had it</w:t>
      </w:r>
      <w:r w:rsidRPr="00424CC2">
        <w:rPr>
          <w:rFonts w:ascii="Arial" w:hAnsi="Arial" w:cs="Arial"/>
        </w:rPr>
        <w:t xml:space="preserve"> been conducted and published as part of the original Incineration Review which was published in May 2022. The decarbonisation of incinerators, which are some of the greatest point sources of greenhouse gas emissions in Scotland, </w:t>
      </w:r>
      <w:r>
        <w:rPr>
          <w:rFonts w:ascii="Arial" w:hAnsi="Arial" w:cs="Arial"/>
        </w:rPr>
        <w:t xml:space="preserve">is an integral part of the environmental case against incineration. </w:t>
      </w:r>
      <w:r w:rsidRPr="00424CC2">
        <w:rPr>
          <w:rFonts w:ascii="Arial" w:hAnsi="Arial" w:cs="Arial"/>
        </w:rPr>
        <w:t xml:space="preserve">The delay in conducting and publishing the </w:t>
      </w:r>
      <w:r>
        <w:rPr>
          <w:rFonts w:ascii="Arial" w:hAnsi="Arial" w:cs="Arial"/>
        </w:rPr>
        <w:t>D</w:t>
      </w:r>
      <w:r w:rsidRPr="00424CC2">
        <w:rPr>
          <w:rFonts w:ascii="Arial" w:hAnsi="Arial" w:cs="Arial"/>
        </w:rPr>
        <w:t xml:space="preserve">ecarbonisation </w:t>
      </w:r>
      <w:r>
        <w:rPr>
          <w:rFonts w:ascii="Arial" w:hAnsi="Arial" w:cs="Arial"/>
        </w:rPr>
        <w:t>S</w:t>
      </w:r>
      <w:r w:rsidRPr="00424CC2">
        <w:rPr>
          <w:rFonts w:ascii="Arial" w:hAnsi="Arial" w:cs="Arial"/>
        </w:rPr>
        <w:t>tudy means policy decisions on incinerators have not included full consideration of their climate impacts or their ability to jeopardise Scotland meeting its climate goals. The delay makes it more likely that incinerators being allowed to unnecessarily emit more greenhouse gases for longer.</w:t>
      </w:r>
    </w:p>
    <w:p w14:paraId="6A4D191F" w14:textId="77777777" w:rsidR="00210609" w:rsidRPr="00424CC2" w:rsidRDefault="00210609" w:rsidP="00210609">
      <w:pPr>
        <w:rPr>
          <w:rFonts w:ascii="Arial" w:hAnsi="Arial" w:cs="Arial"/>
        </w:rPr>
      </w:pPr>
    </w:p>
    <w:p w14:paraId="2AC99D65" w14:textId="77777777" w:rsidR="00210609" w:rsidRPr="00424CC2" w:rsidRDefault="00210609" w:rsidP="00210609">
      <w:pPr>
        <w:rPr>
          <w:rFonts w:ascii="Arial" w:hAnsi="Arial" w:cs="Arial"/>
        </w:rPr>
      </w:pPr>
      <w:r w:rsidRPr="00424CC2">
        <w:rPr>
          <w:rFonts w:ascii="Arial" w:hAnsi="Arial" w:cs="Arial"/>
        </w:rPr>
        <w:t>To correct this, the Scottish Government must be ambitious, evidence-led and act quickly in its efforts to decarbonise incineration.</w:t>
      </w:r>
    </w:p>
    <w:p w14:paraId="13A7EB15" w14:textId="77777777" w:rsidR="00210609" w:rsidRPr="00424CC2" w:rsidRDefault="00210609" w:rsidP="00210609">
      <w:pPr>
        <w:rPr>
          <w:rFonts w:ascii="Arial" w:hAnsi="Arial" w:cs="Arial"/>
        </w:rPr>
      </w:pPr>
    </w:p>
    <w:p w14:paraId="2BF251BB" w14:textId="77777777" w:rsidR="00210609" w:rsidRDefault="00210609" w:rsidP="00210609">
      <w:pPr>
        <w:rPr>
          <w:rFonts w:ascii="Arial" w:hAnsi="Arial" w:cs="Arial"/>
          <w:i/>
        </w:rPr>
      </w:pPr>
      <w:r w:rsidRPr="00424CC2">
        <w:rPr>
          <w:rFonts w:ascii="Arial" w:hAnsi="Arial" w:cs="Arial"/>
          <w:i/>
        </w:rPr>
        <w:t xml:space="preserve">Friends of the Earth Scotland recommends that the Scottish Government acts rapidly and extensively to decarbonise </w:t>
      </w:r>
      <w:r>
        <w:rPr>
          <w:rFonts w:ascii="Arial" w:hAnsi="Arial" w:cs="Arial"/>
          <w:i/>
        </w:rPr>
        <w:t xml:space="preserve">existing and planned </w:t>
      </w:r>
      <w:r w:rsidRPr="00424CC2">
        <w:rPr>
          <w:rFonts w:ascii="Arial" w:hAnsi="Arial" w:cs="Arial"/>
          <w:i/>
        </w:rPr>
        <w:t>incineration</w:t>
      </w:r>
      <w:r>
        <w:rPr>
          <w:rFonts w:ascii="Arial" w:hAnsi="Arial" w:cs="Arial"/>
          <w:i/>
        </w:rPr>
        <w:t xml:space="preserve"> activity</w:t>
      </w:r>
      <w:r w:rsidRPr="00424CC2">
        <w:rPr>
          <w:rFonts w:ascii="Arial" w:hAnsi="Arial" w:cs="Arial"/>
          <w:i/>
        </w:rPr>
        <w:t>. Policy should be guided by evidence</w:t>
      </w:r>
      <w:r>
        <w:rPr>
          <w:rFonts w:ascii="Arial" w:hAnsi="Arial" w:cs="Arial"/>
          <w:i/>
        </w:rPr>
        <w:t>, rather than industry views,</w:t>
      </w:r>
      <w:r w:rsidRPr="00424CC2">
        <w:rPr>
          <w:rFonts w:ascii="Arial" w:hAnsi="Arial" w:cs="Arial"/>
          <w:i/>
        </w:rPr>
        <w:t xml:space="preserve"> on how to decarbonise the residual waste management sector. </w:t>
      </w:r>
    </w:p>
    <w:p w14:paraId="5C3F36E7" w14:textId="77777777" w:rsidR="00210609" w:rsidRPr="00424CC2" w:rsidRDefault="00210609" w:rsidP="0091094A">
      <w:pPr>
        <w:rPr>
          <w:rFonts w:ascii="Arial" w:hAnsi="Arial" w:cs="Arial"/>
        </w:rPr>
      </w:pPr>
    </w:p>
    <w:p w14:paraId="160491B2" w14:textId="77777777" w:rsidR="00FC4B4B" w:rsidRPr="00424CC2" w:rsidRDefault="00FC4B4B" w:rsidP="0091094A">
      <w:pPr>
        <w:rPr>
          <w:rFonts w:ascii="Arial" w:hAnsi="Arial" w:cs="Arial"/>
        </w:rPr>
      </w:pPr>
    </w:p>
    <w:p w14:paraId="48562857" w14:textId="2FDCDB99" w:rsidR="003E7DC2" w:rsidRPr="00424CC2" w:rsidRDefault="00040C8F" w:rsidP="003E7DC2">
      <w:pPr>
        <w:pStyle w:val="Heading1"/>
        <w:rPr>
          <w:rFonts w:cs="Arial"/>
        </w:rPr>
      </w:pPr>
      <w:bookmarkStart w:id="7" w:name="_Toc115343399"/>
      <w:r>
        <w:rPr>
          <w:rFonts w:cs="Arial"/>
        </w:rPr>
        <w:t>2</w:t>
      </w:r>
      <w:r w:rsidR="003E7DC2" w:rsidRPr="00424CC2">
        <w:rPr>
          <w:rFonts w:cs="Arial"/>
        </w:rPr>
        <w:t>.</w:t>
      </w:r>
      <w:r w:rsidR="00EB765C">
        <w:rPr>
          <w:rFonts w:cs="Arial"/>
        </w:rPr>
        <w:t xml:space="preserve"> </w:t>
      </w:r>
      <w:r w:rsidR="003E7DC2" w:rsidRPr="00424CC2">
        <w:rPr>
          <w:rFonts w:cs="Arial"/>
        </w:rPr>
        <w:t>Incinerators jeopardise Scotland’s climate targets</w:t>
      </w:r>
      <w:bookmarkEnd w:id="7"/>
    </w:p>
    <w:p w14:paraId="2C5660CE" w14:textId="77777777" w:rsidR="007953C7" w:rsidRDefault="007953C7" w:rsidP="003E7DC2">
      <w:pPr>
        <w:rPr>
          <w:rFonts w:ascii="Arial" w:hAnsi="Arial" w:cs="Arial"/>
        </w:rPr>
      </w:pPr>
    </w:p>
    <w:p w14:paraId="08CC9874" w14:textId="32C195EE" w:rsidR="003E7DC2" w:rsidRPr="00424CC2" w:rsidRDefault="00065269" w:rsidP="003E7DC2">
      <w:pPr>
        <w:rPr>
          <w:rFonts w:ascii="Arial" w:hAnsi="Arial" w:cs="Arial"/>
        </w:rPr>
      </w:pPr>
      <w:r>
        <w:rPr>
          <w:rFonts w:ascii="Arial" w:hAnsi="Arial" w:cs="Arial"/>
        </w:rPr>
        <w:t xml:space="preserve">As stated in FoES original </w:t>
      </w:r>
      <w:r w:rsidR="005A3AB0">
        <w:rPr>
          <w:rFonts w:ascii="Arial" w:hAnsi="Arial" w:cs="Arial"/>
        </w:rPr>
        <w:t>submission</w:t>
      </w:r>
      <w:r>
        <w:rPr>
          <w:rFonts w:ascii="Arial" w:hAnsi="Arial" w:cs="Arial"/>
        </w:rPr>
        <w:t>, i</w:t>
      </w:r>
      <w:r w:rsidR="00FC4B4B" w:rsidRPr="00424CC2">
        <w:rPr>
          <w:rFonts w:ascii="Arial" w:hAnsi="Arial" w:cs="Arial"/>
        </w:rPr>
        <w:t xml:space="preserve">ncinerators jeopardise climate targets in two </w:t>
      </w:r>
      <w:r w:rsidR="00C9683D" w:rsidRPr="00424CC2">
        <w:rPr>
          <w:rFonts w:ascii="Arial" w:hAnsi="Arial" w:cs="Arial"/>
        </w:rPr>
        <w:t xml:space="preserve">main </w:t>
      </w:r>
      <w:r w:rsidR="00FC4B4B" w:rsidRPr="00424CC2">
        <w:rPr>
          <w:rFonts w:ascii="Arial" w:hAnsi="Arial" w:cs="Arial"/>
        </w:rPr>
        <w:t>ways:</w:t>
      </w:r>
    </w:p>
    <w:p w14:paraId="2C0156E9" w14:textId="77777777" w:rsidR="00FC4B4B" w:rsidRPr="00424CC2" w:rsidRDefault="00FC4B4B" w:rsidP="00FC4B4B">
      <w:pPr>
        <w:pStyle w:val="ListParagraph"/>
        <w:numPr>
          <w:ilvl w:val="0"/>
          <w:numId w:val="4"/>
        </w:numPr>
        <w:rPr>
          <w:rFonts w:ascii="Arial" w:hAnsi="Arial" w:cs="Arial"/>
        </w:rPr>
      </w:pPr>
      <w:r w:rsidRPr="00424CC2">
        <w:rPr>
          <w:rFonts w:ascii="Arial" w:hAnsi="Arial" w:cs="Arial"/>
        </w:rPr>
        <w:t>they emit fossil carbon directly into the atmosphere from the waste they burn;</w:t>
      </w:r>
    </w:p>
    <w:p w14:paraId="4A6FE809" w14:textId="77777777" w:rsidR="00FC4B4B" w:rsidRPr="00424CC2" w:rsidRDefault="00FC4B4B" w:rsidP="00FC4B4B">
      <w:pPr>
        <w:pStyle w:val="ListParagraph"/>
        <w:numPr>
          <w:ilvl w:val="0"/>
          <w:numId w:val="4"/>
        </w:numPr>
        <w:rPr>
          <w:rFonts w:ascii="Arial" w:hAnsi="Arial" w:cs="Arial"/>
        </w:rPr>
      </w:pPr>
      <w:r w:rsidRPr="00424CC2">
        <w:rPr>
          <w:rFonts w:ascii="Arial" w:hAnsi="Arial" w:cs="Arial"/>
        </w:rPr>
        <w:t>they lock societies into a linear model of resource use and high levels of consumption.</w:t>
      </w:r>
    </w:p>
    <w:p w14:paraId="42256E5F" w14:textId="77777777" w:rsidR="00C00B1D" w:rsidRDefault="00C00B1D" w:rsidP="00FC4B4B">
      <w:pPr>
        <w:rPr>
          <w:rFonts w:ascii="Arial" w:hAnsi="Arial" w:cs="Arial"/>
        </w:rPr>
      </w:pPr>
    </w:p>
    <w:p w14:paraId="310808D5" w14:textId="77777777" w:rsidR="00197CFB" w:rsidRDefault="00197CFB" w:rsidP="00FC4B4B">
      <w:pPr>
        <w:rPr>
          <w:rFonts w:ascii="Arial" w:hAnsi="Arial" w:cs="Arial"/>
        </w:rPr>
      </w:pPr>
      <w:r>
        <w:rPr>
          <w:rFonts w:ascii="Arial" w:hAnsi="Arial" w:cs="Arial"/>
        </w:rPr>
        <w:t>The Scottish Government must act on both these issues to ensure that incinerator emissions are curbed in both the short and medium term.</w:t>
      </w:r>
      <w:r w:rsidR="00065269">
        <w:rPr>
          <w:rFonts w:ascii="Arial" w:hAnsi="Arial" w:cs="Arial"/>
        </w:rPr>
        <w:t xml:space="preserve"> The section below includes some additional information to our original response regarding the ways </w:t>
      </w:r>
      <w:r w:rsidR="00DD598E">
        <w:rPr>
          <w:rFonts w:ascii="Arial" w:hAnsi="Arial" w:cs="Arial"/>
        </w:rPr>
        <w:t xml:space="preserve">in which </w:t>
      </w:r>
      <w:r w:rsidR="00065269">
        <w:rPr>
          <w:rFonts w:ascii="Arial" w:hAnsi="Arial" w:cs="Arial"/>
        </w:rPr>
        <w:t>incinerators jeopardise climate goals.</w:t>
      </w:r>
    </w:p>
    <w:p w14:paraId="1C479073" w14:textId="77777777" w:rsidR="00197CFB" w:rsidRPr="00424CC2" w:rsidRDefault="00197CFB" w:rsidP="00FC4B4B">
      <w:pPr>
        <w:rPr>
          <w:rFonts w:ascii="Arial" w:hAnsi="Arial" w:cs="Arial"/>
        </w:rPr>
      </w:pPr>
    </w:p>
    <w:p w14:paraId="007D40AE" w14:textId="495C3158" w:rsidR="00C00B1D" w:rsidRPr="00424CC2" w:rsidRDefault="00040C8F" w:rsidP="00362F0E">
      <w:pPr>
        <w:pStyle w:val="Heading2"/>
      </w:pPr>
      <w:bookmarkStart w:id="8" w:name="_Toc115343400"/>
      <w:r>
        <w:t>2</w:t>
      </w:r>
      <w:r w:rsidR="00516301" w:rsidRPr="00424CC2">
        <w:t xml:space="preserve">.1 </w:t>
      </w:r>
      <w:r w:rsidR="00C00B1D" w:rsidRPr="00424CC2">
        <w:t xml:space="preserve">The waste hierarchy </w:t>
      </w:r>
      <w:r w:rsidR="00210609">
        <w:t>requires updating</w:t>
      </w:r>
      <w:bookmarkEnd w:id="8"/>
    </w:p>
    <w:p w14:paraId="60270FD4" w14:textId="0192796F" w:rsidR="00C00B1D" w:rsidRPr="00424CC2" w:rsidRDefault="00C00B1D" w:rsidP="00FC4B4B">
      <w:pPr>
        <w:rPr>
          <w:rFonts w:ascii="Arial" w:hAnsi="Arial" w:cs="Arial"/>
        </w:rPr>
      </w:pPr>
      <w:r w:rsidRPr="00424CC2">
        <w:rPr>
          <w:rFonts w:ascii="Arial" w:hAnsi="Arial" w:cs="Arial"/>
        </w:rPr>
        <w:t xml:space="preserve">The waste hierarchy has become waste policy dogma since </w:t>
      </w:r>
      <w:r w:rsidR="00004804">
        <w:rPr>
          <w:rFonts w:ascii="Arial" w:hAnsi="Arial" w:cs="Arial"/>
        </w:rPr>
        <w:t>the</w:t>
      </w:r>
      <w:r w:rsidRPr="00424CC2">
        <w:rPr>
          <w:rFonts w:ascii="Arial" w:hAnsi="Arial" w:cs="Arial"/>
        </w:rPr>
        <w:t xml:space="preserve"> introduction </w:t>
      </w:r>
      <w:r w:rsidR="00004804">
        <w:rPr>
          <w:rFonts w:ascii="Arial" w:hAnsi="Arial" w:cs="Arial"/>
        </w:rPr>
        <w:t xml:space="preserve">of the concept </w:t>
      </w:r>
      <w:r w:rsidRPr="00424CC2">
        <w:rPr>
          <w:rFonts w:ascii="Arial" w:hAnsi="Arial" w:cs="Arial"/>
        </w:rPr>
        <w:t>many decades ago. Technical understanding and the policy landscape have moved on considerably</w:t>
      </w:r>
      <w:r w:rsidR="00004804">
        <w:rPr>
          <w:rFonts w:ascii="Arial" w:hAnsi="Arial" w:cs="Arial"/>
        </w:rPr>
        <w:t xml:space="preserve"> but</w:t>
      </w:r>
      <w:r w:rsidRPr="00424CC2">
        <w:rPr>
          <w:rFonts w:ascii="Arial" w:hAnsi="Arial" w:cs="Arial"/>
        </w:rPr>
        <w:t xml:space="preserve"> the waste hierarchy still sits as the unchallengeable cornerstone of waste policy. </w:t>
      </w:r>
      <w:r w:rsidR="00210609">
        <w:rPr>
          <w:rFonts w:ascii="Arial" w:hAnsi="Arial" w:cs="Arial"/>
        </w:rPr>
        <w:t xml:space="preserve">Whilst the waste hierarchy </w:t>
      </w:r>
      <w:r w:rsidR="00FC290A">
        <w:rPr>
          <w:rFonts w:ascii="Arial" w:hAnsi="Arial" w:cs="Arial"/>
        </w:rPr>
        <w:t>can still useful, particularly for members of the public making day to day decisions about waste, rigidly adhering to it in the face of more up to date evidence is</w:t>
      </w:r>
      <w:r w:rsidRPr="00424CC2">
        <w:rPr>
          <w:rFonts w:ascii="Arial" w:hAnsi="Arial" w:cs="Arial"/>
        </w:rPr>
        <w:t xml:space="preserve"> damaging progress</w:t>
      </w:r>
      <w:r w:rsidR="00FC290A">
        <w:rPr>
          <w:rFonts w:ascii="Arial" w:hAnsi="Arial" w:cs="Arial"/>
        </w:rPr>
        <w:t>.</w:t>
      </w:r>
      <w:r w:rsidR="00516301" w:rsidRPr="00424CC2">
        <w:rPr>
          <w:rFonts w:ascii="Arial" w:hAnsi="Arial" w:cs="Arial"/>
        </w:rPr>
        <w:t xml:space="preserve"> N</w:t>
      </w:r>
      <w:r w:rsidRPr="00424CC2">
        <w:rPr>
          <w:rFonts w:ascii="Arial" w:hAnsi="Arial" w:cs="Arial"/>
        </w:rPr>
        <w:t xml:space="preserve">owhere is this clearer than for the </w:t>
      </w:r>
      <w:r w:rsidR="002F3100">
        <w:rPr>
          <w:rFonts w:ascii="Arial" w:hAnsi="Arial" w:cs="Arial"/>
        </w:rPr>
        <w:t xml:space="preserve">issue of </w:t>
      </w:r>
      <w:r w:rsidRPr="00424CC2">
        <w:rPr>
          <w:rFonts w:ascii="Arial" w:hAnsi="Arial" w:cs="Arial"/>
        </w:rPr>
        <w:t>burning plastics</w:t>
      </w:r>
      <w:r w:rsidR="00FC290A">
        <w:rPr>
          <w:rFonts w:ascii="Arial" w:hAnsi="Arial" w:cs="Arial"/>
        </w:rPr>
        <w:t xml:space="preserve"> where Life Cycle Analysis has shown conclusively that burning plastics has a far greater climate impact than landfill</w:t>
      </w:r>
      <w:r w:rsidRPr="00424CC2">
        <w:rPr>
          <w:rFonts w:ascii="Arial" w:hAnsi="Arial" w:cs="Arial"/>
        </w:rPr>
        <w:t>.</w:t>
      </w:r>
      <w:r w:rsidR="00516301" w:rsidRPr="00424CC2">
        <w:rPr>
          <w:rFonts w:ascii="Arial" w:hAnsi="Arial" w:cs="Arial"/>
        </w:rPr>
        <w:t xml:space="preserve"> </w:t>
      </w:r>
      <w:r w:rsidR="00516301" w:rsidRPr="00004804">
        <w:rPr>
          <w:rFonts w:ascii="Arial" w:hAnsi="Arial" w:cs="Arial"/>
          <w:b/>
        </w:rPr>
        <w:t>The waste hierarchy must not be used as an excuse to burn plastics anymore.</w:t>
      </w:r>
    </w:p>
    <w:p w14:paraId="55970FD5" w14:textId="77777777" w:rsidR="00C00B1D" w:rsidRPr="00424CC2" w:rsidRDefault="00C00B1D" w:rsidP="00FC4B4B">
      <w:pPr>
        <w:rPr>
          <w:rFonts w:ascii="Arial" w:hAnsi="Arial" w:cs="Arial"/>
        </w:rPr>
      </w:pPr>
    </w:p>
    <w:p w14:paraId="1F473F30" w14:textId="1F6F5E45" w:rsidR="002F3100" w:rsidRDefault="00C00B1D" w:rsidP="00FC4B4B">
      <w:pPr>
        <w:rPr>
          <w:rFonts w:ascii="Arial" w:hAnsi="Arial" w:cs="Arial"/>
        </w:rPr>
      </w:pPr>
      <w:r w:rsidRPr="00424CC2">
        <w:rPr>
          <w:rFonts w:ascii="Arial" w:hAnsi="Arial" w:cs="Arial"/>
        </w:rPr>
        <w:t xml:space="preserve">99% of plastics are made from fossil fuels. Burning them contributes </w:t>
      </w:r>
      <w:r w:rsidR="002F3100">
        <w:rPr>
          <w:rFonts w:ascii="Arial" w:hAnsi="Arial" w:cs="Arial"/>
        </w:rPr>
        <w:t xml:space="preserve">directly </w:t>
      </w:r>
      <w:r w:rsidRPr="00424CC2">
        <w:rPr>
          <w:rFonts w:ascii="Arial" w:hAnsi="Arial" w:cs="Arial"/>
        </w:rPr>
        <w:t>to climate change</w:t>
      </w:r>
      <w:r w:rsidR="002F3100">
        <w:rPr>
          <w:rFonts w:ascii="Arial" w:hAnsi="Arial" w:cs="Arial"/>
        </w:rPr>
        <w:t xml:space="preserve"> by releasing fossil carbon into the atmosphere</w:t>
      </w:r>
      <w:r w:rsidRPr="00424CC2">
        <w:rPr>
          <w:rFonts w:ascii="Arial" w:hAnsi="Arial" w:cs="Arial"/>
        </w:rPr>
        <w:t>. If they are landfilled instead (ideally in an orderly manner, separated into type and baled</w:t>
      </w:r>
      <w:r w:rsidR="00004804">
        <w:rPr>
          <w:rFonts w:ascii="Arial" w:hAnsi="Arial" w:cs="Arial"/>
        </w:rPr>
        <w:t xml:space="preserve"> to make future recycling efforts easier, once the appropriate technologies and facilities are available</w:t>
      </w:r>
      <w:r w:rsidRPr="00424CC2">
        <w:rPr>
          <w:rFonts w:ascii="Arial" w:hAnsi="Arial" w:cs="Arial"/>
        </w:rPr>
        <w:t xml:space="preserve">) </w:t>
      </w:r>
      <w:r w:rsidR="0000498B" w:rsidRPr="00424CC2">
        <w:rPr>
          <w:rFonts w:ascii="Arial" w:hAnsi="Arial" w:cs="Arial"/>
        </w:rPr>
        <w:t xml:space="preserve">the carbon in them </w:t>
      </w:r>
      <w:r w:rsidR="002F3100">
        <w:rPr>
          <w:rFonts w:ascii="Arial" w:hAnsi="Arial" w:cs="Arial"/>
        </w:rPr>
        <w:t>remains in the landfill</w:t>
      </w:r>
      <w:r w:rsidR="0000498B" w:rsidRPr="00424CC2">
        <w:rPr>
          <w:rFonts w:ascii="Arial" w:hAnsi="Arial" w:cs="Arial"/>
        </w:rPr>
        <w:t xml:space="preserve">. </w:t>
      </w:r>
      <w:r w:rsidR="002F3100">
        <w:rPr>
          <w:rFonts w:ascii="Arial" w:hAnsi="Arial" w:cs="Arial"/>
        </w:rPr>
        <w:t>Whilst landfill has environmental impacts beyond climate change, for plastic, climate is a significant and immediate concern. Landfill is a better climate outcome than incineration</w:t>
      </w:r>
      <w:r w:rsidR="00E80344">
        <w:rPr>
          <w:rFonts w:ascii="Arial" w:hAnsi="Arial" w:cs="Arial"/>
        </w:rPr>
        <w:t xml:space="preserve"> for waste plastic which cannot yet be recycled</w:t>
      </w:r>
      <w:r w:rsidR="002F3100">
        <w:rPr>
          <w:rFonts w:ascii="Arial" w:hAnsi="Arial" w:cs="Arial"/>
        </w:rPr>
        <w:t>.</w:t>
      </w:r>
    </w:p>
    <w:p w14:paraId="620739F6" w14:textId="77777777" w:rsidR="00FE4C5A" w:rsidRDefault="00FE4C5A" w:rsidP="00FC4B4B">
      <w:pPr>
        <w:rPr>
          <w:rFonts w:ascii="Arial" w:hAnsi="Arial" w:cs="Arial"/>
        </w:rPr>
      </w:pPr>
    </w:p>
    <w:p w14:paraId="665A5B99" w14:textId="77777777" w:rsidR="00E80344" w:rsidRDefault="0000498B" w:rsidP="00FC4B4B">
      <w:pPr>
        <w:rPr>
          <w:rFonts w:ascii="Arial" w:hAnsi="Arial" w:cs="Arial"/>
        </w:rPr>
      </w:pPr>
      <w:r w:rsidRPr="00424CC2">
        <w:rPr>
          <w:rFonts w:ascii="Arial" w:hAnsi="Arial" w:cs="Arial"/>
        </w:rPr>
        <w:t xml:space="preserve">Prevention and reuse reduce total material </w:t>
      </w:r>
      <w:r w:rsidR="009D3423">
        <w:rPr>
          <w:rFonts w:ascii="Arial" w:hAnsi="Arial" w:cs="Arial"/>
        </w:rPr>
        <w:t>requirements</w:t>
      </w:r>
      <w:r w:rsidRPr="00424CC2">
        <w:rPr>
          <w:rFonts w:ascii="Arial" w:hAnsi="Arial" w:cs="Arial"/>
        </w:rPr>
        <w:t xml:space="preserve"> and so are preferable to both incineration and landfill. </w:t>
      </w:r>
      <w:r w:rsidR="00004804">
        <w:rPr>
          <w:rFonts w:ascii="Arial" w:hAnsi="Arial" w:cs="Arial"/>
        </w:rPr>
        <w:t>“</w:t>
      </w:r>
      <w:r w:rsidRPr="00424CC2">
        <w:rPr>
          <w:rFonts w:ascii="Arial" w:hAnsi="Arial" w:cs="Arial"/>
        </w:rPr>
        <w:t>Recycling</w:t>
      </w:r>
      <w:r w:rsidR="00004804">
        <w:rPr>
          <w:rFonts w:ascii="Arial" w:hAnsi="Arial" w:cs="Arial"/>
        </w:rPr>
        <w:t>”</w:t>
      </w:r>
      <w:r w:rsidRPr="00424CC2">
        <w:rPr>
          <w:rFonts w:ascii="Arial" w:hAnsi="Arial" w:cs="Arial"/>
        </w:rPr>
        <w:t xml:space="preserve"> is a difficult to define concept which includes a spectrum of processes, some of which may be carbon intensive. </w:t>
      </w:r>
      <w:r w:rsidR="009D3423">
        <w:rPr>
          <w:rFonts w:ascii="Arial" w:hAnsi="Arial" w:cs="Arial"/>
        </w:rPr>
        <w:t>Chemical and mechanical recycling of plastic, for example, are completely different processes with different climate impacts</w:t>
      </w:r>
      <w:r w:rsidR="009D3423">
        <w:rPr>
          <w:rStyle w:val="FootnoteReference"/>
          <w:rFonts w:ascii="Arial" w:hAnsi="Arial" w:cs="Arial"/>
        </w:rPr>
        <w:footnoteReference w:id="8"/>
      </w:r>
      <w:r w:rsidR="009D3423">
        <w:rPr>
          <w:rFonts w:ascii="Arial" w:hAnsi="Arial" w:cs="Arial"/>
        </w:rPr>
        <w:t xml:space="preserve">. </w:t>
      </w:r>
      <w:r w:rsidR="00DC3DAD">
        <w:rPr>
          <w:rFonts w:ascii="Arial" w:hAnsi="Arial" w:cs="Arial"/>
        </w:rPr>
        <w:t xml:space="preserve">A recent study by Zero Waste Europe and the Rethink Plastic alliance found that the GHG emissions from mechanical recycling of plastic are </w:t>
      </w:r>
      <w:r w:rsidR="000741F4">
        <w:rPr>
          <w:rFonts w:ascii="Arial" w:hAnsi="Arial" w:cs="Arial"/>
        </w:rPr>
        <w:t>nine</w:t>
      </w:r>
      <w:r w:rsidR="00DC3DAD">
        <w:rPr>
          <w:rFonts w:ascii="Arial" w:hAnsi="Arial" w:cs="Arial"/>
        </w:rPr>
        <w:t xml:space="preserve"> times lower than those from chemical recycling</w:t>
      </w:r>
      <w:r w:rsidR="00DC3DAD">
        <w:rPr>
          <w:rStyle w:val="FootnoteReference"/>
          <w:rFonts w:ascii="Arial" w:hAnsi="Arial" w:cs="Arial"/>
        </w:rPr>
        <w:footnoteReference w:id="9"/>
      </w:r>
      <w:r w:rsidR="00DC3DAD">
        <w:rPr>
          <w:rFonts w:ascii="Arial" w:hAnsi="Arial" w:cs="Arial"/>
        </w:rPr>
        <w:t xml:space="preserve">. </w:t>
      </w:r>
    </w:p>
    <w:p w14:paraId="40A69DCD" w14:textId="77777777" w:rsidR="00E80344" w:rsidRDefault="00E80344" w:rsidP="00FC4B4B">
      <w:pPr>
        <w:rPr>
          <w:rFonts w:ascii="Arial" w:hAnsi="Arial" w:cs="Arial"/>
        </w:rPr>
      </w:pPr>
    </w:p>
    <w:p w14:paraId="0B4FE1FE" w14:textId="600C3710" w:rsidR="00004804" w:rsidRPr="00424CC2" w:rsidRDefault="00516301" w:rsidP="00FC4B4B">
      <w:pPr>
        <w:rPr>
          <w:rFonts w:ascii="Arial" w:hAnsi="Arial" w:cs="Arial"/>
        </w:rPr>
      </w:pPr>
      <w:r w:rsidRPr="00424CC2">
        <w:rPr>
          <w:rFonts w:ascii="Arial" w:hAnsi="Arial" w:cs="Arial"/>
        </w:rPr>
        <w:t>One way of prioritising recycling methods would be to engineer the desired outcome in</w:t>
      </w:r>
      <w:r w:rsidR="009D3423">
        <w:rPr>
          <w:rFonts w:ascii="Arial" w:hAnsi="Arial" w:cs="Arial"/>
        </w:rPr>
        <w:t xml:space="preserve"> a</w:t>
      </w:r>
      <w:r w:rsidRPr="00424CC2">
        <w:rPr>
          <w:rFonts w:ascii="Arial" w:hAnsi="Arial" w:cs="Arial"/>
        </w:rPr>
        <w:t xml:space="preserve"> definition</w:t>
      </w:r>
      <w:r w:rsidR="009D3423">
        <w:rPr>
          <w:rFonts w:ascii="Arial" w:hAnsi="Arial" w:cs="Arial"/>
        </w:rPr>
        <w:t xml:space="preserve"> of the term</w:t>
      </w:r>
      <w:r w:rsidRPr="00424CC2">
        <w:rPr>
          <w:rFonts w:ascii="Arial" w:hAnsi="Arial" w:cs="Arial"/>
        </w:rPr>
        <w:t xml:space="preserve">: </w:t>
      </w:r>
      <w:r w:rsidR="009D3423">
        <w:rPr>
          <w:rFonts w:ascii="Arial" w:hAnsi="Arial" w:cs="Arial"/>
        </w:rPr>
        <w:t>a</w:t>
      </w:r>
      <w:r w:rsidR="009D3423" w:rsidRPr="00424CC2">
        <w:rPr>
          <w:rFonts w:ascii="Arial" w:hAnsi="Arial" w:cs="Arial"/>
        </w:rPr>
        <w:t xml:space="preserve">ny process </w:t>
      </w:r>
      <w:r w:rsidR="009D3423">
        <w:rPr>
          <w:rFonts w:ascii="Arial" w:hAnsi="Arial" w:cs="Arial"/>
        </w:rPr>
        <w:t xml:space="preserve">with a </w:t>
      </w:r>
      <w:r w:rsidR="009D3423" w:rsidRPr="00424CC2">
        <w:rPr>
          <w:rFonts w:ascii="Arial" w:hAnsi="Arial" w:cs="Arial"/>
        </w:rPr>
        <w:t xml:space="preserve">carbon intensity </w:t>
      </w:r>
      <w:r w:rsidR="009D3423">
        <w:rPr>
          <w:rFonts w:ascii="Arial" w:hAnsi="Arial" w:cs="Arial"/>
        </w:rPr>
        <w:t>above that of</w:t>
      </w:r>
      <w:r w:rsidR="009D3423" w:rsidRPr="00424CC2">
        <w:rPr>
          <w:rFonts w:ascii="Arial" w:hAnsi="Arial" w:cs="Arial"/>
        </w:rPr>
        <w:t xml:space="preserve"> landfill should not be </w:t>
      </w:r>
      <w:r w:rsidR="009D3423">
        <w:rPr>
          <w:rFonts w:ascii="Arial" w:hAnsi="Arial" w:cs="Arial"/>
        </w:rPr>
        <w:t>considered recycling</w:t>
      </w:r>
      <w:r w:rsidR="009D3423">
        <w:rPr>
          <w:rStyle w:val="FootnoteReference"/>
          <w:rFonts w:ascii="Arial" w:hAnsi="Arial" w:cs="Arial"/>
        </w:rPr>
        <w:footnoteReference w:id="10"/>
      </w:r>
      <w:r w:rsidR="009D3423">
        <w:rPr>
          <w:rFonts w:ascii="Arial" w:hAnsi="Arial" w:cs="Arial"/>
        </w:rPr>
        <w:t>. A</w:t>
      </w:r>
      <w:r w:rsidRPr="00424CC2">
        <w:rPr>
          <w:rFonts w:ascii="Arial" w:hAnsi="Arial" w:cs="Arial"/>
        </w:rPr>
        <w:t xml:space="preserve"> code of practice for measuring the carbon intensity of recycling processes could be developed by the Scottish Government</w:t>
      </w:r>
      <w:r w:rsidR="009D3423">
        <w:rPr>
          <w:rFonts w:ascii="Arial" w:hAnsi="Arial" w:cs="Arial"/>
        </w:rPr>
        <w:t xml:space="preserve"> to allow industry to measure </w:t>
      </w:r>
      <w:r w:rsidR="00E80344">
        <w:rPr>
          <w:rFonts w:ascii="Arial" w:hAnsi="Arial" w:cs="Arial"/>
        </w:rPr>
        <w:t xml:space="preserve">and fairly compare </w:t>
      </w:r>
      <w:r w:rsidR="009D3423">
        <w:rPr>
          <w:rFonts w:ascii="Arial" w:hAnsi="Arial" w:cs="Arial"/>
        </w:rPr>
        <w:t>where existing and new processes for managing plastic waste</w:t>
      </w:r>
      <w:r w:rsidRPr="00424CC2">
        <w:rPr>
          <w:rFonts w:ascii="Arial" w:hAnsi="Arial" w:cs="Arial"/>
        </w:rPr>
        <w:t>.</w:t>
      </w:r>
    </w:p>
    <w:p w14:paraId="129D80AD" w14:textId="77777777" w:rsidR="0000498B" w:rsidRPr="00424CC2" w:rsidRDefault="0000498B" w:rsidP="00FC4B4B">
      <w:pPr>
        <w:rPr>
          <w:rFonts w:ascii="Arial" w:hAnsi="Arial" w:cs="Arial"/>
        </w:rPr>
      </w:pPr>
    </w:p>
    <w:p w14:paraId="3F5E378D" w14:textId="6B2E50F3" w:rsidR="0000498B" w:rsidRPr="00424CC2" w:rsidRDefault="0000498B" w:rsidP="00FC4B4B">
      <w:pPr>
        <w:rPr>
          <w:rFonts w:ascii="Arial" w:hAnsi="Arial" w:cs="Arial"/>
          <w:i/>
        </w:rPr>
      </w:pPr>
      <w:r w:rsidRPr="000741F4">
        <w:rPr>
          <w:rFonts w:ascii="Arial" w:hAnsi="Arial" w:cs="Arial"/>
          <w:i/>
        </w:rPr>
        <w:t xml:space="preserve">The Scottish Government should </w:t>
      </w:r>
      <w:r w:rsidR="00516301" w:rsidRPr="000741F4">
        <w:rPr>
          <w:rFonts w:ascii="Arial" w:hAnsi="Arial" w:cs="Arial"/>
          <w:i/>
        </w:rPr>
        <w:t>clearly state</w:t>
      </w:r>
      <w:r w:rsidRPr="000741F4">
        <w:rPr>
          <w:rFonts w:ascii="Arial" w:hAnsi="Arial" w:cs="Arial"/>
          <w:i/>
        </w:rPr>
        <w:t xml:space="preserve"> that </w:t>
      </w:r>
      <w:r w:rsidR="000741F4" w:rsidRPr="000741F4">
        <w:rPr>
          <w:rFonts w:ascii="Arial" w:hAnsi="Arial" w:cs="Arial"/>
          <w:i/>
        </w:rPr>
        <w:t xml:space="preserve">decisions regarding </w:t>
      </w:r>
      <w:r w:rsidRPr="000741F4">
        <w:rPr>
          <w:rFonts w:ascii="Arial" w:hAnsi="Arial" w:cs="Arial"/>
          <w:i/>
        </w:rPr>
        <w:t>the fate of residual plastic waste</w:t>
      </w:r>
      <w:r w:rsidR="000741F4" w:rsidRPr="000741F4">
        <w:rPr>
          <w:rFonts w:ascii="Arial" w:hAnsi="Arial" w:cs="Arial"/>
          <w:i/>
        </w:rPr>
        <w:t xml:space="preserve"> should be based on life cycle analysis evidence rather than the original waste hierarchy</w:t>
      </w:r>
      <w:r w:rsidRPr="000741F4">
        <w:rPr>
          <w:rFonts w:ascii="Arial" w:hAnsi="Arial" w:cs="Arial"/>
          <w:i/>
        </w:rPr>
        <w:t>.</w:t>
      </w:r>
      <w:r w:rsidRPr="00424CC2">
        <w:rPr>
          <w:rFonts w:ascii="Arial" w:hAnsi="Arial" w:cs="Arial"/>
          <w:i/>
        </w:rPr>
        <w:t xml:space="preserve"> </w:t>
      </w:r>
    </w:p>
    <w:p w14:paraId="1C85F9BC" w14:textId="77777777" w:rsidR="0000498B" w:rsidRPr="00424CC2" w:rsidRDefault="0000498B" w:rsidP="00FC4B4B">
      <w:pPr>
        <w:rPr>
          <w:rFonts w:ascii="Arial" w:hAnsi="Arial" w:cs="Arial"/>
          <w:i/>
        </w:rPr>
      </w:pPr>
    </w:p>
    <w:p w14:paraId="2316D415" w14:textId="419E0938" w:rsidR="003E7DC2" w:rsidRPr="00B90FE8" w:rsidRDefault="000C2A55" w:rsidP="00B90FE8">
      <w:pPr>
        <w:rPr>
          <w:rFonts w:ascii="Arial" w:hAnsi="Arial" w:cs="Arial"/>
          <w:i/>
        </w:rPr>
      </w:pPr>
      <w:r>
        <w:rPr>
          <w:rFonts w:ascii="Arial" w:hAnsi="Arial" w:cs="Arial"/>
          <w:i/>
        </w:rPr>
        <w:lastRenderedPageBreak/>
        <w:t>Friends of the Earth Scotland suggests a</w:t>
      </w:r>
      <w:r w:rsidR="00197CFB">
        <w:rPr>
          <w:rFonts w:ascii="Arial" w:hAnsi="Arial" w:cs="Arial"/>
          <w:i/>
        </w:rPr>
        <w:t xml:space="preserve"> </w:t>
      </w:r>
      <w:r w:rsidR="0000498B" w:rsidRPr="00424CC2">
        <w:rPr>
          <w:rFonts w:ascii="Arial" w:hAnsi="Arial" w:cs="Arial"/>
          <w:i/>
        </w:rPr>
        <w:t xml:space="preserve">definition </w:t>
      </w:r>
      <w:r>
        <w:rPr>
          <w:rFonts w:ascii="Arial" w:hAnsi="Arial" w:cs="Arial"/>
          <w:i/>
        </w:rPr>
        <w:t>for</w:t>
      </w:r>
      <w:r w:rsidR="0000498B" w:rsidRPr="00424CC2">
        <w:rPr>
          <w:rFonts w:ascii="Arial" w:hAnsi="Arial" w:cs="Arial"/>
          <w:i/>
        </w:rPr>
        <w:t xml:space="preserve"> recycling </w:t>
      </w:r>
      <w:r>
        <w:rPr>
          <w:rFonts w:ascii="Arial" w:hAnsi="Arial" w:cs="Arial"/>
          <w:i/>
        </w:rPr>
        <w:t xml:space="preserve">of </w:t>
      </w:r>
      <w:r w:rsidR="0000498B" w:rsidRPr="00424CC2">
        <w:rPr>
          <w:rFonts w:ascii="Arial" w:hAnsi="Arial" w:cs="Arial"/>
          <w:i/>
        </w:rPr>
        <w:t xml:space="preserve">plastics is required. </w:t>
      </w:r>
      <w:r w:rsidR="00004804">
        <w:rPr>
          <w:rFonts w:ascii="Arial" w:hAnsi="Arial" w:cs="Arial"/>
          <w:i/>
        </w:rPr>
        <w:t xml:space="preserve">This should be defined by the Scottish Government. </w:t>
      </w:r>
      <w:r w:rsidR="0000498B" w:rsidRPr="00424CC2">
        <w:rPr>
          <w:rFonts w:ascii="Arial" w:hAnsi="Arial" w:cs="Arial"/>
          <w:i/>
        </w:rPr>
        <w:t xml:space="preserve">This </w:t>
      </w:r>
      <w:r w:rsidR="00516301" w:rsidRPr="00424CC2">
        <w:rPr>
          <w:rFonts w:ascii="Arial" w:hAnsi="Arial" w:cs="Arial"/>
          <w:i/>
        </w:rPr>
        <w:t>could be based on a carbon intensity threshold related to landfill.</w:t>
      </w:r>
      <w:r w:rsidR="00004804">
        <w:rPr>
          <w:rFonts w:ascii="Arial" w:hAnsi="Arial" w:cs="Arial"/>
          <w:i/>
        </w:rPr>
        <w:t xml:space="preserve"> Guidance on how to measure carbon intensity of recycling methods should be developed by government, not industry.</w:t>
      </w:r>
    </w:p>
    <w:p w14:paraId="3DD2E3D9" w14:textId="77777777" w:rsidR="007953C7" w:rsidRPr="007953C7" w:rsidRDefault="007953C7" w:rsidP="007953C7"/>
    <w:p w14:paraId="5E7BDAD7" w14:textId="08DA1CA2" w:rsidR="00516301" w:rsidRPr="00424CC2" w:rsidRDefault="00040C8F" w:rsidP="00362F0E">
      <w:pPr>
        <w:pStyle w:val="Heading2"/>
      </w:pPr>
      <w:bookmarkStart w:id="9" w:name="_Toc115343401"/>
      <w:r>
        <w:t>2</w:t>
      </w:r>
      <w:r w:rsidR="00516301" w:rsidRPr="00424CC2">
        <w:t>.2 The dangers of lock-in</w:t>
      </w:r>
      <w:bookmarkEnd w:id="9"/>
    </w:p>
    <w:p w14:paraId="5087503B" w14:textId="77777777" w:rsidR="00516301" w:rsidRDefault="00516301" w:rsidP="00516301">
      <w:pPr>
        <w:rPr>
          <w:rFonts w:ascii="Arial" w:hAnsi="Arial" w:cs="Arial"/>
        </w:rPr>
      </w:pPr>
      <w:r w:rsidRPr="00424CC2">
        <w:rPr>
          <w:rFonts w:ascii="Arial" w:hAnsi="Arial" w:cs="Arial"/>
        </w:rPr>
        <w:t xml:space="preserve">The Scottish Government’s </w:t>
      </w:r>
      <w:r w:rsidR="00424CC2" w:rsidRPr="00424CC2">
        <w:rPr>
          <w:rFonts w:ascii="Arial" w:hAnsi="Arial" w:cs="Arial"/>
        </w:rPr>
        <w:t xml:space="preserve">Incineration Review </w:t>
      </w:r>
      <w:r w:rsidRPr="00424CC2">
        <w:rPr>
          <w:rFonts w:ascii="Arial" w:hAnsi="Arial" w:cs="Arial"/>
        </w:rPr>
        <w:t xml:space="preserve">confirmed Friends of the Earth Scotland’s arguments that lock-in is a genuine concern. </w:t>
      </w:r>
      <w:r w:rsidR="001C144C">
        <w:rPr>
          <w:rFonts w:ascii="Arial" w:hAnsi="Arial" w:cs="Arial"/>
        </w:rPr>
        <w:t>The Review</w:t>
      </w:r>
      <w:r w:rsidR="00424CC2" w:rsidRPr="00424CC2">
        <w:rPr>
          <w:rFonts w:ascii="Arial" w:hAnsi="Arial" w:cs="Arial"/>
        </w:rPr>
        <w:t xml:space="preserve"> recommends that “local authorities specifically address this in their contracts” to prevent further lock-in but does not say what steps can be taken to unlock the </w:t>
      </w:r>
      <w:r w:rsidR="000949C3">
        <w:rPr>
          <w:rFonts w:ascii="Arial" w:hAnsi="Arial" w:cs="Arial"/>
        </w:rPr>
        <w:t xml:space="preserve">current </w:t>
      </w:r>
      <w:r w:rsidR="00424CC2" w:rsidRPr="00424CC2">
        <w:rPr>
          <w:rFonts w:ascii="Arial" w:hAnsi="Arial" w:cs="Arial"/>
        </w:rPr>
        <w:t>system.</w:t>
      </w:r>
      <w:r w:rsidR="008E61A1">
        <w:rPr>
          <w:rFonts w:ascii="Arial" w:hAnsi="Arial" w:cs="Arial"/>
        </w:rPr>
        <w:t xml:space="preserve"> This is disappointing as lock-in</w:t>
      </w:r>
      <w:r w:rsidR="00FF28F7">
        <w:rPr>
          <w:rFonts w:ascii="Arial" w:hAnsi="Arial" w:cs="Arial"/>
        </w:rPr>
        <w:t xml:space="preserve"> to high carbon industries (not just incineration) are well established and known to have numerous interconnections and interactions within and between national and local institutions, industry and households which require government intervention to change</w:t>
      </w:r>
      <w:r w:rsidR="00FF28F7">
        <w:rPr>
          <w:rStyle w:val="FootnoteReference"/>
          <w:rFonts w:ascii="Arial" w:hAnsi="Arial" w:cs="Arial"/>
        </w:rPr>
        <w:footnoteReference w:id="11"/>
      </w:r>
      <w:r w:rsidR="00FF28F7">
        <w:rPr>
          <w:rFonts w:ascii="Arial" w:hAnsi="Arial" w:cs="Arial"/>
        </w:rPr>
        <w:t>.</w:t>
      </w:r>
    </w:p>
    <w:p w14:paraId="721DD760" w14:textId="77777777" w:rsidR="006D5F2D" w:rsidRDefault="006D5F2D" w:rsidP="00516301">
      <w:pPr>
        <w:rPr>
          <w:rFonts w:ascii="Arial" w:hAnsi="Arial" w:cs="Arial"/>
        </w:rPr>
      </w:pPr>
    </w:p>
    <w:p w14:paraId="7DDC65F2" w14:textId="77777777" w:rsidR="008E61A1" w:rsidRDefault="006D5F2D" w:rsidP="00516301">
      <w:pPr>
        <w:rPr>
          <w:rFonts w:ascii="Arial" w:hAnsi="Arial" w:cs="Arial"/>
        </w:rPr>
      </w:pPr>
      <w:r>
        <w:rPr>
          <w:rFonts w:ascii="Arial" w:hAnsi="Arial" w:cs="Arial"/>
        </w:rPr>
        <w:t xml:space="preserve">It is vital that Scotland’s waste management system is unlocked from incineration in order to allow a circular economy to develop: it is not possible to use resources again if they have been burnt. In this way, incinerators represent a threat to Scotland achieving its climate goals, which cannot be achieved without reducing consumption created by a linear system of resource use. The </w:t>
      </w:r>
      <w:r w:rsidR="008E61A1">
        <w:rPr>
          <w:rFonts w:ascii="Arial" w:hAnsi="Arial" w:cs="Arial"/>
        </w:rPr>
        <w:t>D</w:t>
      </w:r>
      <w:r>
        <w:rPr>
          <w:rFonts w:ascii="Arial" w:hAnsi="Arial" w:cs="Arial"/>
        </w:rPr>
        <w:t xml:space="preserve">ecarbonisation </w:t>
      </w:r>
      <w:r w:rsidR="008E61A1">
        <w:rPr>
          <w:rFonts w:ascii="Arial" w:hAnsi="Arial" w:cs="Arial"/>
        </w:rPr>
        <w:t>Study</w:t>
      </w:r>
      <w:r>
        <w:rPr>
          <w:rFonts w:ascii="Arial" w:hAnsi="Arial" w:cs="Arial"/>
        </w:rPr>
        <w:t xml:space="preserve"> must recognise this and suggests practical steps which can be taken towards unlocking the system as soon as possible. </w:t>
      </w:r>
    </w:p>
    <w:p w14:paraId="3165FDBB" w14:textId="77777777" w:rsidR="007953C7" w:rsidRDefault="007953C7" w:rsidP="00516301">
      <w:pPr>
        <w:rPr>
          <w:rFonts w:ascii="Arial" w:hAnsi="Arial" w:cs="Arial"/>
        </w:rPr>
      </w:pPr>
    </w:p>
    <w:p w14:paraId="30C3BA76" w14:textId="77777777" w:rsidR="007953C7" w:rsidRPr="007953C7" w:rsidRDefault="007953C7" w:rsidP="00516301">
      <w:pPr>
        <w:rPr>
          <w:rFonts w:ascii="Arial" w:hAnsi="Arial" w:cs="Arial"/>
          <w:i/>
        </w:rPr>
      </w:pPr>
      <w:r>
        <w:rPr>
          <w:rFonts w:ascii="Arial" w:hAnsi="Arial" w:cs="Arial"/>
          <w:i/>
        </w:rPr>
        <w:t>Friends of the Earth Scotland recommends that t</w:t>
      </w:r>
      <w:r w:rsidRPr="007953C7">
        <w:rPr>
          <w:rFonts w:ascii="Arial" w:hAnsi="Arial" w:cs="Arial"/>
          <w:i/>
        </w:rPr>
        <w:t>he Decarbonisation Study should go further than the original Incineration Review in recognising lock-in to incineration is genuine and recommend steps to unlock the existing waste management system.</w:t>
      </w:r>
    </w:p>
    <w:p w14:paraId="0DF85D39" w14:textId="77777777" w:rsidR="007953C7" w:rsidRDefault="007953C7" w:rsidP="00516301">
      <w:pPr>
        <w:rPr>
          <w:rFonts w:ascii="Arial" w:hAnsi="Arial" w:cs="Arial"/>
        </w:rPr>
      </w:pPr>
    </w:p>
    <w:p w14:paraId="0C1D00BE" w14:textId="55141938" w:rsidR="00D13231" w:rsidRPr="00362F0E" w:rsidRDefault="00040C8F" w:rsidP="00362F0E">
      <w:pPr>
        <w:pStyle w:val="Heading2"/>
      </w:pPr>
      <w:bookmarkStart w:id="10" w:name="_Toc115343402"/>
      <w:r>
        <w:t>2</w:t>
      </w:r>
      <w:r w:rsidR="00D13231" w:rsidRPr="00D13231">
        <w:t>.3 Example of breaking lock in: Germany’s Coal Exit Law</w:t>
      </w:r>
      <w:bookmarkEnd w:id="10"/>
    </w:p>
    <w:p w14:paraId="7D5551E0" w14:textId="77777777" w:rsidR="000741F4" w:rsidRDefault="001F19DB" w:rsidP="001F19DB">
      <w:pPr>
        <w:rPr>
          <w:rFonts w:ascii="Arial" w:hAnsi="Arial" w:cs="Arial"/>
        </w:rPr>
      </w:pPr>
      <w:r>
        <w:rPr>
          <w:rFonts w:ascii="Arial" w:hAnsi="Arial" w:cs="Arial"/>
        </w:rPr>
        <w:t xml:space="preserve">Germany’s coal phaseout plan is an example of </w:t>
      </w:r>
      <w:r w:rsidR="003509CE">
        <w:rPr>
          <w:rFonts w:ascii="Arial" w:hAnsi="Arial" w:cs="Arial"/>
        </w:rPr>
        <w:t xml:space="preserve">how government can break </w:t>
      </w:r>
      <w:r w:rsidR="007953C7">
        <w:rPr>
          <w:rFonts w:ascii="Arial" w:hAnsi="Arial" w:cs="Arial"/>
        </w:rPr>
        <w:t xml:space="preserve">carbon </w:t>
      </w:r>
      <w:r w:rsidR="003509CE">
        <w:rPr>
          <w:rFonts w:ascii="Arial" w:hAnsi="Arial" w:cs="Arial"/>
        </w:rPr>
        <w:t>lock-in</w:t>
      </w:r>
      <w:r w:rsidRPr="001F19DB">
        <w:rPr>
          <w:vertAlign w:val="superscript"/>
        </w:rPr>
        <w:footnoteReference w:id="12"/>
      </w:r>
      <w:r w:rsidR="00994CA5">
        <w:rPr>
          <w:rFonts w:ascii="Arial" w:hAnsi="Arial" w:cs="Arial"/>
        </w:rPr>
        <w:t xml:space="preserve"> which the Decarbonisation </w:t>
      </w:r>
      <w:r w:rsidR="00C2010D">
        <w:rPr>
          <w:rFonts w:ascii="Arial" w:hAnsi="Arial" w:cs="Arial"/>
        </w:rPr>
        <w:t>Study</w:t>
      </w:r>
      <w:r w:rsidR="00994CA5">
        <w:rPr>
          <w:rFonts w:ascii="Arial" w:hAnsi="Arial" w:cs="Arial"/>
        </w:rPr>
        <w:t xml:space="preserve"> can draw on to create its own pathway to unlock Scotland from incineration of waste</w:t>
      </w:r>
      <w:r w:rsidRPr="001F19DB">
        <w:rPr>
          <w:rFonts w:ascii="Arial" w:hAnsi="Arial" w:cs="Arial"/>
        </w:rPr>
        <w:t xml:space="preserve">. </w:t>
      </w:r>
      <w:r w:rsidR="00994CA5">
        <w:rPr>
          <w:rFonts w:ascii="Arial" w:hAnsi="Arial" w:cs="Arial"/>
        </w:rPr>
        <w:t xml:space="preserve">The aim of the German Government was to phaseout the burning of coal. </w:t>
      </w:r>
      <w:r w:rsidR="000741F4">
        <w:rPr>
          <w:rFonts w:ascii="Arial" w:hAnsi="Arial" w:cs="Arial"/>
        </w:rPr>
        <w:t xml:space="preserve">Whilst the timescales of the phase out </w:t>
      </w:r>
      <w:proofErr w:type="gramStart"/>
      <w:r w:rsidR="000741F4">
        <w:rPr>
          <w:rFonts w:ascii="Arial" w:hAnsi="Arial" w:cs="Arial"/>
        </w:rPr>
        <w:t>does</w:t>
      </w:r>
      <w:proofErr w:type="gramEnd"/>
      <w:r w:rsidR="000741F4">
        <w:rPr>
          <w:rFonts w:ascii="Arial" w:hAnsi="Arial" w:cs="Arial"/>
        </w:rPr>
        <w:t xml:space="preserve"> not match the scientific requirement to phase out coal by 2030, the process taken in unlocking from a carbon intensive technology remains a useful example. </w:t>
      </w:r>
    </w:p>
    <w:p w14:paraId="36EA7645" w14:textId="77777777" w:rsidR="000741F4" w:rsidRDefault="000741F4" w:rsidP="001F19DB">
      <w:pPr>
        <w:rPr>
          <w:rFonts w:ascii="Arial" w:hAnsi="Arial" w:cs="Arial"/>
        </w:rPr>
      </w:pPr>
    </w:p>
    <w:p w14:paraId="4FB232DE" w14:textId="1FA6FADA" w:rsidR="000C2A55" w:rsidRDefault="001F19DB" w:rsidP="001F19DB">
      <w:pPr>
        <w:rPr>
          <w:rFonts w:ascii="Arial" w:hAnsi="Arial" w:cs="Arial"/>
        </w:rPr>
      </w:pPr>
      <w:r w:rsidRPr="001F19DB">
        <w:rPr>
          <w:rFonts w:ascii="Arial" w:hAnsi="Arial" w:cs="Arial"/>
        </w:rPr>
        <w:t xml:space="preserve">The </w:t>
      </w:r>
      <w:r>
        <w:rPr>
          <w:rFonts w:ascii="Arial" w:hAnsi="Arial" w:cs="Arial"/>
        </w:rPr>
        <w:t>German G</w:t>
      </w:r>
      <w:r w:rsidRPr="001F19DB">
        <w:rPr>
          <w:rFonts w:ascii="Arial" w:hAnsi="Arial" w:cs="Arial"/>
        </w:rPr>
        <w:t xml:space="preserve">overnment established a multi-stakeholder “coal exit commission” to </w:t>
      </w:r>
      <w:r w:rsidR="00BF6C1C">
        <w:rPr>
          <w:rFonts w:ascii="Arial" w:hAnsi="Arial" w:cs="Arial"/>
        </w:rPr>
        <w:t>plan the stages of</w:t>
      </w:r>
      <w:r w:rsidRPr="001F19DB">
        <w:rPr>
          <w:rFonts w:ascii="Arial" w:hAnsi="Arial" w:cs="Arial"/>
        </w:rPr>
        <w:t xml:space="preserve"> </w:t>
      </w:r>
      <w:r w:rsidR="00BF6C1C">
        <w:rPr>
          <w:rFonts w:ascii="Arial" w:hAnsi="Arial" w:cs="Arial"/>
        </w:rPr>
        <w:t>the</w:t>
      </w:r>
      <w:r w:rsidRPr="001F19DB">
        <w:rPr>
          <w:rFonts w:ascii="Arial" w:hAnsi="Arial" w:cs="Arial"/>
        </w:rPr>
        <w:t xml:space="preserve"> phaseout plan for coal-fired power in the country. This included</w:t>
      </w:r>
      <w:r w:rsidR="000C2A55">
        <w:rPr>
          <w:rFonts w:ascii="Arial" w:hAnsi="Arial" w:cs="Arial"/>
        </w:rPr>
        <w:t>:</w:t>
      </w:r>
    </w:p>
    <w:p w14:paraId="0256512F" w14:textId="77777777" w:rsidR="000C2A55" w:rsidRDefault="001F19DB" w:rsidP="000C2A55">
      <w:pPr>
        <w:pStyle w:val="ListParagraph"/>
        <w:numPr>
          <w:ilvl w:val="0"/>
          <w:numId w:val="9"/>
        </w:numPr>
        <w:rPr>
          <w:rFonts w:ascii="Arial" w:hAnsi="Arial" w:cs="Arial"/>
        </w:rPr>
      </w:pPr>
      <w:r w:rsidRPr="000C2A55">
        <w:rPr>
          <w:rFonts w:ascii="Arial" w:hAnsi="Arial" w:cs="Arial"/>
        </w:rPr>
        <w:t>a ban on new plants</w:t>
      </w:r>
      <w:r w:rsidR="000C2A55">
        <w:rPr>
          <w:rFonts w:ascii="Arial" w:hAnsi="Arial" w:cs="Arial"/>
        </w:rPr>
        <w:t>;</w:t>
      </w:r>
    </w:p>
    <w:p w14:paraId="44752615" w14:textId="77777777" w:rsidR="000C2A55" w:rsidRDefault="001F19DB" w:rsidP="000C2A55">
      <w:pPr>
        <w:pStyle w:val="ListParagraph"/>
        <w:numPr>
          <w:ilvl w:val="0"/>
          <w:numId w:val="9"/>
        </w:numPr>
        <w:rPr>
          <w:rFonts w:ascii="Arial" w:hAnsi="Arial" w:cs="Arial"/>
        </w:rPr>
      </w:pPr>
      <w:r w:rsidRPr="000C2A55">
        <w:rPr>
          <w:rFonts w:ascii="Arial" w:hAnsi="Arial" w:cs="Arial"/>
        </w:rPr>
        <w:t>a shutdown schedule for existing plants</w:t>
      </w:r>
      <w:r w:rsidR="000C2A55">
        <w:rPr>
          <w:rFonts w:ascii="Arial" w:hAnsi="Arial" w:cs="Arial"/>
        </w:rPr>
        <w:t>;</w:t>
      </w:r>
      <w:r w:rsidRPr="000C2A55">
        <w:rPr>
          <w:rFonts w:ascii="Arial" w:hAnsi="Arial" w:cs="Arial"/>
        </w:rPr>
        <w:t xml:space="preserve"> and </w:t>
      </w:r>
    </w:p>
    <w:p w14:paraId="5D42BB56" w14:textId="77777777" w:rsidR="000C2A55" w:rsidRDefault="001F19DB" w:rsidP="000C2A55">
      <w:pPr>
        <w:pStyle w:val="ListParagraph"/>
        <w:numPr>
          <w:ilvl w:val="0"/>
          <w:numId w:val="9"/>
        </w:numPr>
        <w:rPr>
          <w:rFonts w:ascii="Arial" w:hAnsi="Arial" w:cs="Arial"/>
        </w:rPr>
      </w:pPr>
      <w:r w:rsidRPr="000C2A55">
        <w:rPr>
          <w:rFonts w:ascii="Arial" w:hAnsi="Arial" w:cs="Arial"/>
        </w:rPr>
        <w:t xml:space="preserve">measures to support those affected by the phaseout. </w:t>
      </w:r>
    </w:p>
    <w:p w14:paraId="6419BC90" w14:textId="77777777" w:rsidR="000C2A55" w:rsidRDefault="000C2A55" w:rsidP="000C2A55">
      <w:pPr>
        <w:rPr>
          <w:rFonts w:ascii="Arial" w:hAnsi="Arial" w:cs="Arial"/>
        </w:rPr>
      </w:pPr>
    </w:p>
    <w:p w14:paraId="4A63D6D9" w14:textId="77777777" w:rsidR="00D13231" w:rsidRDefault="001F19DB" w:rsidP="000C2A55">
      <w:pPr>
        <w:rPr>
          <w:rFonts w:ascii="Arial" w:hAnsi="Arial" w:cs="Arial"/>
        </w:rPr>
      </w:pPr>
      <w:r w:rsidRPr="000C2A55">
        <w:rPr>
          <w:rFonts w:ascii="Arial" w:hAnsi="Arial" w:cs="Arial"/>
        </w:rPr>
        <w:lastRenderedPageBreak/>
        <w:t>This planning enabled the government to successfully enact a “coal exit law”</w:t>
      </w:r>
      <w:r w:rsidR="00366CDE">
        <w:rPr>
          <w:rFonts w:ascii="Arial" w:hAnsi="Arial" w:cs="Arial"/>
        </w:rPr>
        <w:t xml:space="preserve"> in July 2020. The first coal plants went offline later that year.</w:t>
      </w:r>
      <w:r w:rsidRPr="000C2A55">
        <w:rPr>
          <w:rFonts w:ascii="Arial" w:hAnsi="Arial" w:cs="Arial"/>
        </w:rPr>
        <w:t xml:space="preserve"> </w:t>
      </w:r>
      <w:r w:rsidR="00D13231">
        <w:rPr>
          <w:rFonts w:ascii="Arial" w:hAnsi="Arial" w:cs="Arial"/>
        </w:rPr>
        <w:t>By the end of 2022, capacity will be reduced by 25%</w:t>
      </w:r>
      <w:r w:rsidR="00D13231">
        <w:rPr>
          <w:rStyle w:val="FootnoteReference"/>
          <w:rFonts w:ascii="Arial" w:hAnsi="Arial" w:cs="Arial"/>
        </w:rPr>
        <w:footnoteReference w:id="13"/>
      </w:r>
      <w:r w:rsidR="00D13231">
        <w:rPr>
          <w:rFonts w:ascii="Arial" w:hAnsi="Arial" w:cs="Arial"/>
        </w:rPr>
        <w:t>.</w:t>
      </w:r>
    </w:p>
    <w:p w14:paraId="73362A4E" w14:textId="77777777" w:rsidR="00D13231" w:rsidRDefault="00D13231" w:rsidP="000C2A55">
      <w:pPr>
        <w:rPr>
          <w:rFonts w:ascii="Arial" w:hAnsi="Arial" w:cs="Arial"/>
        </w:rPr>
      </w:pPr>
    </w:p>
    <w:p w14:paraId="0001ECA0" w14:textId="77777777" w:rsidR="00D13231" w:rsidRDefault="001F19DB" w:rsidP="000C2A55">
      <w:pPr>
        <w:rPr>
          <w:rFonts w:ascii="Arial" w:hAnsi="Arial" w:cs="Arial"/>
        </w:rPr>
      </w:pPr>
      <w:r w:rsidRPr="000C2A55">
        <w:rPr>
          <w:rFonts w:ascii="Arial" w:hAnsi="Arial" w:cs="Arial"/>
        </w:rPr>
        <w:t>Th</w:t>
      </w:r>
      <w:r w:rsidR="000C2A55">
        <w:rPr>
          <w:rFonts w:ascii="Arial" w:hAnsi="Arial" w:cs="Arial"/>
        </w:rPr>
        <w:t>e coal exit law includes an agreed</w:t>
      </w:r>
      <w:r w:rsidRPr="000C2A55">
        <w:rPr>
          <w:rFonts w:ascii="Arial" w:hAnsi="Arial" w:cs="Arial"/>
        </w:rPr>
        <w:t xml:space="preserve"> </w:t>
      </w:r>
      <w:r w:rsidR="003509CE" w:rsidRPr="000C2A55">
        <w:rPr>
          <w:rFonts w:ascii="Arial" w:hAnsi="Arial" w:cs="Arial"/>
        </w:rPr>
        <w:t xml:space="preserve">shutdown schedule </w:t>
      </w:r>
      <w:r w:rsidR="000C2A55">
        <w:rPr>
          <w:rFonts w:ascii="Arial" w:hAnsi="Arial" w:cs="Arial"/>
        </w:rPr>
        <w:t>for the closure dates of individual plants (</w:t>
      </w:r>
      <w:r w:rsidR="00994CA5">
        <w:rPr>
          <w:rFonts w:ascii="Arial" w:hAnsi="Arial" w:cs="Arial"/>
        </w:rPr>
        <w:t>s</w:t>
      </w:r>
      <w:r w:rsidR="000C2A55">
        <w:rPr>
          <w:rFonts w:ascii="Arial" w:hAnsi="Arial" w:cs="Arial"/>
        </w:rPr>
        <w:t>ee Figure</w:t>
      </w:r>
      <w:r w:rsidR="00500B41">
        <w:rPr>
          <w:rFonts w:ascii="Arial" w:hAnsi="Arial" w:cs="Arial"/>
        </w:rPr>
        <w:t xml:space="preserve"> </w:t>
      </w:r>
      <w:r w:rsidR="000C2A55">
        <w:rPr>
          <w:rFonts w:ascii="Arial" w:hAnsi="Arial" w:cs="Arial"/>
        </w:rPr>
        <w:t xml:space="preserve">1 below) and </w:t>
      </w:r>
      <w:r w:rsidR="003509CE" w:rsidRPr="000C2A55">
        <w:rPr>
          <w:rFonts w:ascii="Arial" w:hAnsi="Arial" w:cs="Arial"/>
        </w:rPr>
        <w:t>compensation payments for operators</w:t>
      </w:r>
      <w:r w:rsidR="00366CDE">
        <w:rPr>
          <w:rFonts w:ascii="Arial" w:hAnsi="Arial" w:cs="Arial"/>
        </w:rPr>
        <w:t xml:space="preserve"> and workers</w:t>
      </w:r>
      <w:r w:rsidR="003509CE" w:rsidRPr="000C2A55">
        <w:rPr>
          <w:rFonts w:ascii="Arial" w:hAnsi="Arial" w:cs="Arial"/>
        </w:rPr>
        <w:t xml:space="preserve">. </w:t>
      </w:r>
      <w:r w:rsidR="00D13231">
        <w:rPr>
          <w:rFonts w:ascii="Arial" w:hAnsi="Arial" w:cs="Arial"/>
        </w:rPr>
        <w:t>The operators, i</w:t>
      </w:r>
      <w:r w:rsidR="00D13231" w:rsidRPr="00D13231">
        <w:rPr>
          <w:rFonts w:ascii="Arial" w:hAnsi="Arial" w:cs="Arial"/>
        </w:rPr>
        <w:t>n return for the compensation payments, will refrain from taking legal action against the shutdown of their installations and from dismissing workers for operational reasons.</w:t>
      </w:r>
      <w:r w:rsidR="00D13231">
        <w:rPr>
          <w:rFonts w:ascii="Arial" w:hAnsi="Arial" w:cs="Arial"/>
        </w:rPr>
        <w:t xml:space="preserve"> </w:t>
      </w:r>
      <w:r w:rsidR="00994CA5">
        <w:rPr>
          <w:rFonts w:ascii="Arial" w:hAnsi="Arial" w:cs="Arial"/>
        </w:rPr>
        <w:t>Operators will only be compensated for shutdowns before 2030.</w:t>
      </w:r>
      <w:r w:rsidR="00994CA5" w:rsidRPr="00994CA5">
        <w:rPr>
          <w:rFonts w:ascii="Arial" w:hAnsi="Arial" w:cs="Arial"/>
        </w:rPr>
        <w:t xml:space="preserve"> </w:t>
      </w:r>
      <w:r w:rsidR="00994CA5" w:rsidRPr="000C2A55">
        <w:rPr>
          <w:rFonts w:ascii="Arial" w:hAnsi="Arial" w:cs="Arial"/>
        </w:rPr>
        <w:t xml:space="preserve">The Government has scheduled three reviews of whether the shutdowns planned for post-2030 could be scheduled earlier. </w:t>
      </w:r>
      <w:r w:rsidR="00D13231">
        <w:rPr>
          <w:rFonts w:ascii="Arial" w:hAnsi="Arial" w:cs="Arial"/>
        </w:rPr>
        <w:t xml:space="preserve">Compensation for operators will total 4.35 billion euros and </w:t>
      </w:r>
      <w:r w:rsidR="00994CA5">
        <w:rPr>
          <w:rFonts w:ascii="Arial" w:hAnsi="Arial" w:cs="Arial"/>
        </w:rPr>
        <w:t xml:space="preserve">workers will be compensated </w:t>
      </w:r>
      <w:r w:rsidR="00D13231">
        <w:rPr>
          <w:rFonts w:ascii="Arial" w:hAnsi="Arial" w:cs="Arial"/>
        </w:rPr>
        <w:t>a maximum of 5 billion euros</w:t>
      </w:r>
      <w:r w:rsidR="00994CA5">
        <w:rPr>
          <w:rFonts w:ascii="Arial" w:hAnsi="Arial" w:cs="Arial"/>
        </w:rPr>
        <w:t xml:space="preserve">. </w:t>
      </w:r>
    </w:p>
    <w:p w14:paraId="64DF5405" w14:textId="77777777" w:rsidR="003509CE" w:rsidRDefault="003509CE" w:rsidP="001F19DB">
      <w:pPr>
        <w:rPr>
          <w:rFonts w:ascii="Arial" w:hAnsi="Arial" w:cs="Arial"/>
        </w:rPr>
      </w:pPr>
    </w:p>
    <w:p w14:paraId="66A72FDD" w14:textId="77777777" w:rsidR="003509CE" w:rsidRPr="003509CE" w:rsidRDefault="003509CE" w:rsidP="001F19DB">
      <w:pPr>
        <w:rPr>
          <w:rFonts w:ascii="Arial" w:hAnsi="Arial" w:cs="Arial"/>
          <w:b/>
        </w:rPr>
      </w:pPr>
      <w:r w:rsidRPr="003509CE">
        <w:rPr>
          <w:rFonts w:ascii="Arial" w:hAnsi="Arial" w:cs="Arial"/>
          <w:b/>
        </w:rPr>
        <w:t>Figure</w:t>
      </w:r>
      <w:r w:rsidR="00500B41">
        <w:rPr>
          <w:rFonts w:ascii="Arial" w:hAnsi="Arial" w:cs="Arial"/>
          <w:b/>
        </w:rPr>
        <w:t xml:space="preserve"> 1</w:t>
      </w:r>
      <w:r w:rsidRPr="003509CE">
        <w:rPr>
          <w:rFonts w:ascii="Arial" w:hAnsi="Arial" w:cs="Arial"/>
          <w:b/>
        </w:rPr>
        <w:t xml:space="preserve"> Plant exit path for phase out of German coal use by 2038</w:t>
      </w:r>
    </w:p>
    <w:p w14:paraId="36E41624" w14:textId="77777777" w:rsidR="000949C3" w:rsidRDefault="003509CE" w:rsidP="00BF6C1C">
      <w:pPr>
        <w:rPr>
          <w:rFonts w:ascii="Arial" w:hAnsi="Arial" w:cs="Arial"/>
        </w:rPr>
      </w:pPr>
      <w:r>
        <w:rPr>
          <w:rFonts w:ascii="Arial" w:hAnsi="Arial" w:cs="Arial"/>
          <w:noProof/>
        </w:rPr>
        <w:drawing>
          <wp:inline distT="0" distB="0" distL="0" distR="0" wp14:anchorId="6C722568" wp14:editId="42026EDE">
            <wp:extent cx="5344267" cy="567584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9-20 at 14.49.17.png"/>
                    <pic:cNvPicPr/>
                  </pic:nvPicPr>
                  <pic:blipFill>
                    <a:blip r:embed="rId9">
                      <a:extLst>
                        <a:ext uri="{28A0092B-C50C-407E-A947-70E740481C1C}">
                          <a14:useLocalDpi xmlns:a14="http://schemas.microsoft.com/office/drawing/2010/main" val="0"/>
                        </a:ext>
                      </a:extLst>
                    </a:blip>
                    <a:stretch>
                      <a:fillRect/>
                    </a:stretch>
                  </pic:blipFill>
                  <pic:spPr>
                    <a:xfrm>
                      <a:off x="0" y="0"/>
                      <a:ext cx="5354497" cy="5686710"/>
                    </a:xfrm>
                    <a:prstGeom prst="rect">
                      <a:avLst/>
                    </a:prstGeom>
                  </pic:spPr>
                </pic:pic>
              </a:graphicData>
            </a:graphic>
          </wp:inline>
        </w:drawing>
      </w:r>
    </w:p>
    <w:p w14:paraId="67322949" w14:textId="77777777" w:rsidR="000C2A55" w:rsidRDefault="000C2A55" w:rsidP="00424CC2">
      <w:pPr>
        <w:rPr>
          <w:rFonts w:ascii="Arial" w:hAnsi="Arial" w:cs="Arial"/>
        </w:rPr>
      </w:pPr>
    </w:p>
    <w:p w14:paraId="0A66B6EE" w14:textId="5B36D26B" w:rsidR="00CF460D" w:rsidRDefault="00CF460D" w:rsidP="00424CC2">
      <w:pPr>
        <w:rPr>
          <w:rFonts w:ascii="Arial" w:hAnsi="Arial" w:cs="Arial"/>
        </w:rPr>
      </w:pPr>
      <w:r>
        <w:rPr>
          <w:rFonts w:ascii="Arial" w:hAnsi="Arial" w:cs="Arial"/>
        </w:rPr>
        <w:t xml:space="preserve">Transition support mechanisms are required to ensure workers in Scotland’s waste management sector are supported as their industry shifts to a more circular economy model. </w:t>
      </w:r>
      <w:r w:rsidR="005B445A">
        <w:rPr>
          <w:rFonts w:ascii="Arial" w:hAnsi="Arial" w:cs="Arial"/>
        </w:rPr>
        <w:t>As called for by the Just transition Partnership in their response to the Circular Economy consultation</w:t>
      </w:r>
      <w:r w:rsidR="005B445A">
        <w:rPr>
          <w:rStyle w:val="FootnoteReference"/>
          <w:rFonts w:ascii="Arial" w:hAnsi="Arial" w:cs="Arial"/>
        </w:rPr>
        <w:footnoteReference w:id="14"/>
      </w:r>
      <w:r w:rsidR="005B445A">
        <w:rPr>
          <w:rFonts w:ascii="Arial" w:hAnsi="Arial" w:cs="Arial"/>
        </w:rPr>
        <w:t>, w</w:t>
      </w:r>
      <w:r>
        <w:rPr>
          <w:rFonts w:ascii="Arial" w:hAnsi="Arial" w:cs="Arial"/>
        </w:rPr>
        <w:t xml:space="preserve">orkers and their Unions should be </w:t>
      </w:r>
      <w:r w:rsidR="00BF6C1C">
        <w:rPr>
          <w:rFonts w:ascii="Arial" w:hAnsi="Arial" w:cs="Arial"/>
        </w:rPr>
        <w:t>involved in shaping</w:t>
      </w:r>
      <w:r>
        <w:rPr>
          <w:rFonts w:ascii="Arial" w:hAnsi="Arial" w:cs="Arial"/>
        </w:rPr>
        <w:t xml:space="preserve"> how to transition the industry.</w:t>
      </w:r>
    </w:p>
    <w:p w14:paraId="21848109" w14:textId="77777777" w:rsidR="00CF460D" w:rsidRPr="001F19DB" w:rsidRDefault="00CF460D" w:rsidP="00424CC2">
      <w:pPr>
        <w:rPr>
          <w:rFonts w:ascii="Arial" w:hAnsi="Arial" w:cs="Arial"/>
        </w:rPr>
      </w:pPr>
    </w:p>
    <w:p w14:paraId="7356EF10" w14:textId="77777777" w:rsidR="000C2A55" w:rsidRDefault="00424CC2" w:rsidP="00424CC2">
      <w:pPr>
        <w:rPr>
          <w:rFonts w:ascii="Arial" w:hAnsi="Arial" w:cs="Arial"/>
          <w:i/>
        </w:rPr>
      </w:pPr>
      <w:r w:rsidRPr="001F19DB">
        <w:rPr>
          <w:rFonts w:ascii="Arial" w:hAnsi="Arial" w:cs="Arial"/>
          <w:i/>
        </w:rPr>
        <w:t xml:space="preserve">Friends of the Earth Scotland </w:t>
      </w:r>
      <w:r w:rsidRPr="006D5F2D">
        <w:rPr>
          <w:rFonts w:ascii="Arial" w:hAnsi="Arial" w:cs="Arial"/>
          <w:i/>
        </w:rPr>
        <w:t>recommends that</w:t>
      </w:r>
      <w:r w:rsidR="00197CFB" w:rsidRPr="006D5F2D">
        <w:rPr>
          <w:rFonts w:ascii="Arial" w:hAnsi="Arial" w:cs="Arial"/>
          <w:i/>
        </w:rPr>
        <w:t xml:space="preserve"> the Scottish Government takes active and deliberate steps to unlocking waste policy from incineration</w:t>
      </w:r>
      <w:r w:rsidR="006D5F2D">
        <w:rPr>
          <w:rFonts w:ascii="Arial" w:hAnsi="Arial" w:cs="Arial"/>
          <w:i/>
        </w:rPr>
        <w:t xml:space="preserve"> beginning with</w:t>
      </w:r>
      <w:r w:rsidR="00847BD6" w:rsidRPr="006D5F2D">
        <w:rPr>
          <w:rFonts w:ascii="Arial" w:hAnsi="Arial" w:cs="Arial"/>
          <w:i/>
        </w:rPr>
        <w:t xml:space="preserve"> acknowledging that Scotland is locked-in to incineration</w:t>
      </w:r>
      <w:r w:rsidR="006D5F2D" w:rsidRPr="006D5F2D">
        <w:rPr>
          <w:rFonts w:ascii="Arial" w:hAnsi="Arial" w:cs="Arial"/>
          <w:i/>
        </w:rPr>
        <w:t xml:space="preserve"> and </w:t>
      </w:r>
      <w:r w:rsidR="006D5F2D">
        <w:rPr>
          <w:rFonts w:ascii="Arial" w:hAnsi="Arial" w:cs="Arial"/>
          <w:i/>
        </w:rPr>
        <w:t>unlocking the system is required to achieve climate goals.</w:t>
      </w:r>
      <w:r w:rsidR="000C2A55">
        <w:rPr>
          <w:rFonts w:ascii="Arial" w:hAnsi="Arial" w:cs="Arial"/>
          <w:i/>
        </w:rPr>
        <w:t xml:space="preserve"> </w:t>
      </w:r>
    </w:p>
    <w:p w14:paraId="691E2CE0" w14:textId="77777777" w:rsidR="000C2A55" w:rsidRDefault="000C2A55" w:rsidP="00424CC2">
      <w:pPr>
        <w:rPr>
          <w:rFonts w:ascii="Arial" w:hAnsi="Arial" w:cs="Arial"/>
          <w:i/>
        </w:rPr>
      </w:pPr>
    </w:p>
    <w:p w14:paraId="45AC7527" w14:textId="5B3B30B8" w:rsidR="00424CC2" w:rsidRDefault="000C2A55" w:rsidP="00424CC2">
      <w:pPr>
        <w:rPr>
          <w:rFonts w:ascii="Arial" w:hAnsi="Arial" w:cs="Arial"/>
          <w:i/>
        </w:rPr>
      </w:pPr>
      <w:r>
        <w:rPr>
          <w:rFonts w:ascii="Arial" w:hAnsi="Arial" w:cs="Arial"/>
          <w:i/>
        </w:rPr>
        <w:t xml:space="preserve">Friends of the Earth Scotland strongly recommends that </w:t>
      </w:r>
      <w:r w:rsidR="005B445A">
        <w:rPr>
          <w:rFonts w:ascii="Arial" w:hAnsi="Arial" w:cs="Arial"/>
          <w:i/>
        </w:rPr>
        <w:t>a</w:t>
      </w:r>
      <w:r>
        <w:rPr>
          <w:rFonts w:ascii="Arial" w:hAnsi="Arial" w:cs="Arial"/>
          <w:i/>
        </w:rPr>
        <w:t xml:space="preserve"> schedule to close individual</w:t>
      </w:r>
      <w:r w:rsidR="00BF6C1C">
        <w:rPr>
          <w:rFonts w:ascii="Arial" w:hAnsi="Arial" w:cs="Arial"/>
          <w:i/>
        </w:rPr>
        <w:t xml:space="preserve"> Scottish</w:t>
      </w:r>
      <w:r>
        <w:rPr>
          <w:rFonts w:ascii="Arial" w:hAnsi="Arial" w:cs="Arial"/>
          <w:i/>
        </w:rPr>
        <w:t xml:space="preserve"> incinerator plants</w:t>
      </w:r>
      <w:r w:rsidR="00BF6C1C">
        <w:rPr>
          <w:rFonts w:ascii="Arial" w:hAnsi="Arial" w:cs="Arial"/>
          <w:i/>
        </w:rPr>
        <w:t xml:space="preserve"> as fast as possible</w:t>
      </w:r>
      <w:r>
        <w:rPr>
          <w:rFonts w:ascii="Arial" w:hAnsi="Arial" w:cs="Arial"/>
          <w:i/>
        </w:rPr>
        <w:t xml:space="preserve"> should be created.</w:t>
      </w:r>
    </w:p>
    <w:p w14:paraId="0417229A" w14:textId="77777777" w:rsidR="000C2A55" w:rsidRDefault="000C2A55" w:rsidP="00424CC2">
      <w:pPr>
        <w:rPr>
          <w:rFonts w:ascii="Arial" w:hAnsi="Arial" w:cs="Arial"/>
          <w:i/>
        </w:rPr>
      </w:pPr>
    </w:p>
    <w:p w14:paraId="069721B9" w14:textId="3D1A8A00" w:rsidR="000C2A55" w:rsidRPr="006D5F2D" w:rsidRDefault="000C2A55" w:rsidP="00424CC2">
      <w:pPr>
        <w:rPr>
          <w:rFonts w:ascii="Arial" w:hAnsi="Arial" w:cs="Arial"/>
          <w:i/>
        </w:rPr>
      </w:pPr>
      <w:r>
        <w:rPr>
          <w:rFonts w:ascii="Arial" w:hAnsi="Arial" w:cs="Arial"/>
          <w:i/>
        </w:rPr>
        <w:t xml:space="preserve">Friends of the Earth Scotland </w:t>
      </w:r>
      <w:r w:rsidR="005B445A">
        <w:rPr>
          <w:rFonts w:ascii="Arial" w:hAnsi="Arial" w:cs="Arial"/>
          <w:i/>
        </w:rPr>
        <w:t>strongly recommends</w:t>
      </w:r>
      <w:r>
        <w:rPr>
          <w:rFonts w:ascii="Arial" w:hAnsi="Arial" w:cs="Arial"/>
          <w:i/>
        </w:rPr>
        <w:t xml:space="preserve"> that waste workers and their Unions </w:t>
      </w:r>
      <w:r w:rsidR="005A3AB0">
        <w:rPr>
          <w:rFonts w:ascii="Arial" w:hAnsi="Arial" w:cs="Arial"/>
          <w:i/>
        </w:rPr>
        <w:t>are involved in shaping</w:t>
      </w:r>
      <w:r>
        <w:rPr>
          <w:rFonts w:ascii="Arial" w:hAnsi="Arial" w:cs="Arial"/>
          <w:i/>
        </w:rPr>
        <w:t xml:space="preserve"> transformational changes to the sector.</w:t>
      </w:r>
    </w:p>
    <w:p w14:paraId="6EF57D63" w14:textId="77777777" w:rsidR="006D5F2D" w:rsidRDefault="006D5F2D" w:rsidP="00516301">
      <w:pPr>
        <w:rPr>
          <w:rFonts w:ascii="Arial" w:hAnsi="Arial" w:cs="Arial"/>
        </w:rPr>
      </w:pPr>
    </w:p>
    <w:p w14:paraId="5AD82E3B" w14:textId="77777777" w:rsidR="005B445A" w:rsidRPr="00424CC2" w:rsidRDefault="005B445A" w:rsidP="00516301">
      <w:pPr>
        <w:rPr>
          <w:rFonts w:ascii="Arial" w:hAnsi="Arial" w:cs="Arial"/>
        </w:rPr>
      </w:pPr>
    </w:p>
    <w:p w14:paraId="32728399" w14:textId="62CEC8A9" w:rsidR="00027C6E" w:rsidRPr="00424CC2" w:rsidRDefault="00040C8F" w:rsidP="00A02BE4">
      <w:pPr>
        <w:pStyle w:val="Heading1"/>
        <w:rPr>
          <w:rFonts w:cs="Arial"/>
        </w:rPr>
      </w:pPr>
      <w:bookmarkStart w:id="11" w:name="_Toc115343403"/>
      <w:r>
        <w:rPr>
          <w:rFonts w:cs="Arial"/>
        </w:rPr>
        <w:t>3</w:t>
      </w:r>
      <w:r w:rsidR="00027C6E" w:rsidRPr="00424CC2">
        <w:rPr>
          <w:rFonts w:cs="Arial"/>
        </w:rPr>
        <w:t>. Minimise the number of incinerators to be built</w:t>
      </w:r>
      <w:bookmarkEnd w:id="11"/>
    </w:p>
    <w:p w14:paraId="6E2F4937" w14:textId="77777777" w:rsidR="00FE446B" w:rsidRDefault="00FE446B" w:rsidP="00FA5E48">
      <w:pPr>
        <w:rPr>
          <w:rFonts w:ascii="Arial" w:hAnsi="Arial" w:cs="Arial"/>
        </w:rPr>
      </w:pPr>
    </w:p>
    <w:p w14:paraId="2718AB82" w14:textId="190CABD1" w:rsidR="00FE446B" w:rsidRPr="00FE446B" w:rsidRDefault="00040C8F" w:rsidP="00362F0E">
      <w:pPr>
        <w:pStyle w:val="Heading2"/>
      </w:pPr>
      <w:bookmarkStart w:id="12" w:name="_Toc115343404"/>
      <w:r>
        <w:t>3</w:t>
      </w:r>
      <w:r w:rsidR="00FE446B" w:rsidRPr="00FE446B">
        <w:t xml:space="preserve">.1 </w:t>
      </w:r>
      <w:r w:rsidR="00BB0641">
        <w:t>The risk of</w:t>
      </w:r>
      <w:r w:rsidR="00FE446B">
        <w:t xml:space="preserve"> o</w:t>
      </w:r>
      <w:r w:rsidR="00FE446B" w:rsidRPr="00FE446B">
        <w:t xml:space="preserve">ver-capacity </w:t>
      </w:r>
      <w:r w:rsidR="00BB0641">
        <w:t xml:space="preserve">is greater </w:t>
      </w:r>
      <w:r w:rsidR="00FE446B">
        <w:t>than a</w:t>
      </w:r>
      <w:r w:rsidR="00FE446B" w:rsidRPr="00FE446B">
        <w:t xml:space="preserve"> capacity gap</w:t>
      </w:r>
      <w:bookmarkEnd w:id="12"/>
    </w:p>
    <w:p w14:paraId="78785CAF" w14:textId="77777777" w:rsidR="00FA5E48" w:rsidRPr="00424CC2" w:rsidRDefault="00FA5E48" w:rsidP="00FA5E48">
      <w:pPr>
        <w:rPr>
          <w:rFonts w:ascii="Arial" w:hAnsi="Arial" w:cs="Arial"/>
        </w:rPr>
      </w:pPr>
      <w:r w:rsidRPr="00424CC2">
        <w:rPr>
          <w:rFonts w:ascii="Arial" w:hAnsi="Arial" w:cs="Arial"/>
        </w:rPr>
        <w:t xml:space="preserve">The </w:t>
      </w:r>
      <w:r w:rsidR="00C9683D" w:rsidRPr="00424CC2">
        <w:rPr>
          <w:rFonts w:ascii="Arial" w:hAnsi="Arial" w:cs="Arial"/>
        </w:rPr>
        <w:t>Scottish Government’s I</w:t>
      </w:r>
      <w:r w:rsidRPr="00424CC2">
        <w:rPr>
          <w:rFonts w:ascii="Arial" w:hAnsi="Arial" w:cs="Arial"/>
        </w:rPr>
        <w:t xml:space="preserve">ncineration </w:t>
      </w:r>
      <w:r w:rsidR="00C9683D" w:rsidRPr="00424CC2">
        <w:rPr>
          <w:rFonts w:ascii="Arial" w:hAnsi="Arial" w:cs="Arial"/>
        </w:rPr>
        <w:t>R</w:t>
      </w:r>
      <w:r w:rsidRPr="00424CC2">
        <w:rPr>
          <w:rFonts w:ascii="Arial" w:hAnsi="Arial" w:cs="Arial"/>
        </w:rPr>
        <w:t>eview s</w:t>
      </w:r>
      <w:r w:rsidR="00C9683D" w:rsidRPr="00424CC2">
        <w:rPr>
          <w:rFonts w:ascii="Arial" w:hAnsi="Arial" w:cs="Arial"/>
        </w:rPr>
        <w:t>hows</w:t>
      </w:r>
      <w:r w:rsidRPr="00424CC2">
        <w:rPr>
          <w:rFonts w:ascii="Arial" w:hAnsi="Arial" w:cs="Arial"/>
        </w:rPr>
        <w:t xml:space="preserve"> that, if </w:t>
      </w:r>
      <w:r w:rsidR="00C9683D" w:rsidRPr="00424CC2">
        <w:rPr>
          <w:rFonts w:ascii="Arial" w:hAnsi="Arial" w:cs="Arial"/>
        </w:rPr>
        <w:t xml:space="preserve">Scotland’s </w:t>
      </w:r>
      <w:r w:rsidRPr="00424CC2">
        <w:rPr>
          <w:rFonts w:ascii="Arial" w:hAnsi="Arial" w:cs="Arial"/>
        </w:rPr>
        <w:t>performance matched what has been achieved in</w:t>
      </w:r>
      <w:r w:rsidR="00C9683D" w:rsidRPr="00424CC2">
        <w:rPr>
          <w:rFonts w:ascii="Arial" w:hAnsi="Arial" w:cs="Arial"/>
        </w:rPr>
        <w:t xml:space="preserve"> those</w:t>
      </w:r>
      <w:r w:rsidRPr="00424CC2">
        <w:rPr>
          <w:rFonts w:ascii="Arial" w:hAnsi="Arial" w:cs="Arial"/>
        </w:rPr>
        <w:t xml:space="preserve"> European nations</w:t>
      </w:r>
      <w:r w:rsidR="00C9683D" w:rsidRPr="00424CC2">
        <w:rPr>
          <w:rFonts w:ascii="Arial" w:hAnsi="Arial" w:cs="Arial"/>
        </w:rPr>
        <w:t xml:space="preserve"> with high recycling rates</w:t>
      </w:r>
      <w:r w:rsidRPr="00424CC2">
        <w:rPr>
          <w:rFonts w:ascii="Arial" w:hAnsi="Arial" w:cs="Arial"/>
        </w:rPr>
        <w:t xml:space="preserve">, </w:t>
      </w:r>
      <w:r w:rsidR="00C9683D" w:rsidRPr="00424CC2">
        <w:rPr>
          <w:rFonts w:ascii="Arial" w:hAnsi="Arial" w:cs="Arial"/>
        </w:rPr>
        <w:t xml:space="preserve">Scotland would </w:t>
      </w:r>
      <w:r w:rsidRPr="00424CC2">
        <w:rPr>
          <w:rFonts w:ascii="Arial" w:hAnsi="Arial" w:cs="Arial"/>
        </w:rPr>
        <w:t>need no more than half a million tonnes incineration capacity by 2050 (excluding Construction &amp; Demolition waste)</w:t>
      </w:r>
      <w:r w:rsidR="00C9683D" w:rsidRPr="00424CC2">
        <w:rPr>
          <w:rStyle w:val="FootnoteReference"/>
          <w:rFonts w:ascii="Arial" w:hAnsi="Arial" w:cs="Arial"/>
        </w:rPr>
        <w:footnoteReference w:id="15"/>
      </w:r>
      <w:r w:rsidRPr="00424CC2">
        <w:rPr>
          <w:rFonts w:ascii="Arial" w:hAnsi="Arial" w:cs="Arial"/>
        </w:rPr>
        <w:t>. With the development of a Circular Economy law and Route Map for waste</w:t>
      </w:r>
      <w:r w:rsidR="006D5F2D">
        <w:rPr>
          <w:rFonts w:ascii="Arial" w:hAnsi="Arial" w:cs="Arial"/>
        </w:rPr>
        <w:t xml:space="preserve">, </w:t>
      </w:r>
      <w:r w:rsidR="00EA1711" w:rsidRPr="00424CC2">
        <w:rPr>
          <w:rFonts w:ascii="Arial" w:hAnsi="Arial" w:cs="Arial"/>
        </w:rPr>
        <w:t xml:space="preserve">Scotland’s existing target to achieve 70% recycling </w:t>
      </w:r>
      <w:r w:rsidRPr="00424CC2">
        <w:rPr>
          <w:rFonts w:ascii="Arial" w:hAnsi="Arial" w:cs="Arial"/>
        </w:rPr>
        <w:t>should act as</w:t>
      </w:r>
      <w:r w:rsidR="00E259E1">
        <w:rPr>
          <w:rFonts w:ascii="Arial" w:hAnsi="Arial" w:cs="Arial"/>
        </w:rPr>
        <w:t xml:space="preserve"> a</w:t>
      </w:r>
      <w:r w:rsidRPr="00424CC2">
        <w:rPr>
          <w:rFonts w:ascii="Arial" w:hAnsi="Arial" w:cs="Arial"/>
        </w:rPr>
        <w:t xml:space="preserve"> realistic goal for future progress</w:t>
      </w:r>
      <w:r w:rsidR="00EA1711" w:rsidRPr="00424CC2">
        <w:rPr>
          <w:rFonts w:ascii="Arial" w:hAnsi="Arial" w:cs="Arial"/>
        </w:rPr>
        <w:t xml:space="preserve"> (although the current target will not now be achievable within the original timeframe</w:t>
      </w:r>
      <w:r w:rsidR="006D5F2D">
        <w:rPr>
          <w:rFonts w:ascii="Arial" w:hAnsi="Arial" w:cs="Arial"/>
        </w:rPr>
        <w:t xml:space="preserve"> of</w:t>
      </w:r>
      <w:r w:rsidR="00EA1711" w:rsidRPr="00424CC2">
        <w:rPr>
          <w:rFonts w:ascii="Arial" w:hAnsi="Arial" w:cs="Arial"/>
        </w:rPr>
        <w:t xml:space="preserve"> 2025)</w:t>
      </w:r>
      <w:r w:rsidRPr="00424CC2">
        <w:rPr>
          <w:rFonts w:ascii="Arial" w:hAnsi="Arial" w:cs="Arial"/>
        </w:rPr>
        <w:t xml:space="preserve">. </w:t>
      </w:r>
    </w:p>
    <w:p w14:paraId="3C88AA33" w14:textId="77777777" w:rsidR="00FA5E48" w:rsidRPr="00424CC2" w:rsidRDefault="00FA5E48" w:rsidP="00FA5E48">
      <w:pPr>
        <w:rPr>
          <w:rFonts w:ascii="Arial" w:hAnsi="Arial" w:cs="Arial"/>
        </w:rPr>
      </w:pPr>
    </w:p>
    <w:p w14:paraId="61F62D7C" w14:textId="09EA6EAA" w:rsidR="00FA5E48" w:rsidRDefault="00FA5E48" w:rsidP="00FA5E48">
      <w:pPr>
        <w:rPr>
          <w:rFonts w:ascii="Arial" w:hAnsi="Arial" w:cs="Arial"/>
        </w:rPr>
      </w:pPr>
      <w:r w:rsidRPr="00D674FD">
        <w:rPr>
          <w:rFonts w:ascii="Arial" w:hAnsi="Arial" w:cs="Arial"/>
        </w:rPr>
        <w:t xml:space="preserve">The Review also shows that incineration capacity based on existing capacity and </w:t>
      </w:r>
      <w:r w:rsidR="0032533D" w:rsidRPr="00D674FD">
        <w:rPr>
          <w:rFonts w:ascii="Arial" w:hAnsi="Arial" w:cs="Arial"/>
        </w:rPr>
        <w:t xml:space="preserve">business as usual </w:t>
      </w:r>
      <w:r w:rsidRPr="00D674FD">
        <w:rPr>
          <w:rFonts w:ascii="Arial" w:hAnsi="Arial" w:cs="Arial"/>
        </w:rPr>
        <w:t xml:space="preserve">pipeline capacity for plants in construction, fully consented and with planning granted will peak in 2028 at </w:t>
      </w:r>
      <w:r w:rsidR="006D5F2D" w:rsidRPr="00D674FD">
        <w:rPr>
          <w:rFonts w:ascii="Arial" w:hAnsi="Arial" w:cs="Arial"/>
        </w:rPr>
        <w:t xml:space="preserve">just </w:t>
      </w:r>
      <w:r w:rsidRPr="00D674FD">
        <w:rPr>
          <w:rFonts w:ascii="Arial" w:hAnsi="Arial" w:cs="Arial"/>
        </w:rPr>
        <w:t xml:space="preserve">under 3Mt and still be more than 2.5Mt by 2050 – 500% more than </w:t>
      </w:r>
      <w:r w:rsidR="004F32CC" w:rsidRPr="00D674FD">
        <w:rPr>
          <w:rFonts w:ascii="Arial" w:hAnsi="Arial" w:cs="Arial"/>
        </w:rPr>
        <w:t>the 0.5Mt capacity that</w:t>
      </w:r>
      <w:r w:rsidRPr="00D674FD">
        <w:rPr>
          <w:rFonts w:ascii="Arial" w:hAnsi="Arial" w:cs="Arial"/>
        </w:rPr>
        <w:t xml:space="preserve"> should be required. </w:t>
      </w:r>
      <w:r w:rsidR="004F32CC" w:rsidRPr="00D674FD">
        <w:rPr>
          <w:rFonts w:ascii="Arial" w:hAnsi="Arial" w:cs="Arial"/>
        </w:rPr>
        <w:t xml:space="preserve">It is clear that </w:t>
      </w:r>
      <w:r w:rsidRPr="00D674FD">
        <w:rPr>
          <w:rFonts w:ascii="Arial" w:hAnsi="Arial" w:cs="Arial"/>
        </w:rPr>
        <w:t xml:space="preserve">Scotland has </w:t>
      </w:r>
      <w:r w:rsidR="004F32CC" w:rsidRPr="00D674FD">
        <w:rPr>
          <w:rFonts w:ascii="Arial" w:hAnsi="Arial" w:cs="Arial"/>
        </w:rPr>
        <w:t>over-</w:t>
      </w:r>
      <w:r w:rsidRPr="00D674FD">
        <w:rPr>
          <w:rFonts w:ascii="Arial" w:hAnsi="Arial" w:cs="Arial"/>
        </w:rPr>
        <w:t xml:space="preserve">capacity </w:t>
      </w:r>
      <w:r w:rsidR="004F32CC" w:rsidRPr="00D674FD">
        <w:rPr>
          <w:rFonts w:ascii="Arial" w:hAnsi="Arial" w:cs="Arial"/>
        </w:rPr>
        <w:t>of incineration</w:t>
      </w:r>
      <w:r w:rsidRPr="00D674FD">
        <w:rPr>
          <w:rFonts w:ascii="Arial" w:hAnsi="Arial" w:cs="Arial"/>
        </w:rPr>
        <w:t>.</w:t>
      </w:r>
    </w:p>
    <w:p w14:paraId="3C3BC869" w14:textId="77777777" w:rsidR="0030730D" w:rsidRDefault="0030730D" w:rsidP="00FA5E48">
      <w:pPr>
        <w:rPr>
          <w:rFonts w:ascii="Arial" w:hAnsi="Arial" w:cs="Arial"/>
        </w:rPr>
      </w:pPr>
    </w:p>
    <w:p w14:paraId="5C84403B" w14:textId="77777777" w:rsidR="0030730D" w:rsidRDefault="0030730D" w:rsidP="0030730D">
      <w:pPr>
        <w:pStyle w:val="NormalWeb"/>
        <w:rPr>
          <w:rFonts w:ascii="ArialMT" w:eastAsia="Times New Roman" w:hAnsi="ArialMT"/>
        </w:rPr>
      </w:pPr>
      <w:r>
        <w:rPr>
          <w:rFonts w:ascii="Arial" w:hAnsi="Arial" w:cs="Arial"/>
        </w:rPr>
        <w:t>Despite the Incineration Review capacity analysis showing that there is “</w:t>
      </w:r>
      <w:r w:rsidRPr="0030730D">
        <w:rPr>
          <w:rFonts w:ascii="ArialMT" w:eastAsia="Times New Roman" w:hAnsi="ArialMT"/>
        </w:rPr>
        <w:t>a risk of long-term overcapacity beginning from 2026 or 2027</w:t>
      </w:r>
      <w:r>
        <w:rPr>
          <w:rFonts w:ascii="ArialMT" w:eastAsia="Times New Roman" w:hAnsi="ArialMT"/>
        </w:rPr>
        <w:t xml:space="preserve">”, there is </w:t>
      </w:r>
      <w:r w:rsidR="009040A5">
        <w:rPr>
          <w:rFonts w:ascii="ArialMT" w:eastAsia="Times New Roman" w:hAnsi="ArialMT"/>
        </w:rPr>
        <w:t>a</w:t>
      </w:r>
      <w:r w:rsidR="00BB0641">
        <w:rPr>
          <w:rFonts w:ascii="ArialMT" w:eastAsia="Times New Roman" w:hAnsi="ArialMT"/>
        </w:rPr>
        <w:t>lso a</w:t>
      </w:r>
      <w:r w:rsidR="00FE446B">
        <w:rPr>
          <w:rFonts w:ascii="ArialMT" w:eastAsia="Times New Roman" w:hAnsi="ArialMT"/>
        </w:rPr>
        <w:t xml:space="preserve"> counter-intuitive and </w:t>
      </w:r>
      <w:r>
        <w:rPr>
          <w:rFonts w:ascii="ArialMT" w:eastAsia="Times New Roman" w:hAnsi="ArialMT"/>
        </w:rPr>
        <w:t xml:space="preserve">unnecessary </w:t>
      </w:r>
      <w:r w:rsidR="009040A5">
        <w:rPr>
          <w:rFonts w:ascii="ArialMT" w:eastAsia="Times New Roman" w:hAnsi="ArialMT"/>
        </w:rPr>
        <w:t xml:space="preserve">level of </w:t>
      </w:r>
      <w:r>
        <w:rPr>
          <w:rFonts w:ascii="ArialMT" w:eastAsia="Times New Roman" w:hAnsi="ArialMT"/>
        </w:rPr>
        <w:t xml:space="preserve">concern about the “capacity gap” for residual waste in the year of 2025. For one year, about half a million tonnes more waste than planned will be sent to landfill, rather than incinerated. </w:t>
      </w:r>
      <w:r w:rsidR="00BB0641">
        <w:rPr>
          <w:rFonts w:ascii="ArialMT" w:eastAsia="Times New Roman" w:hAnsi="ArialMT"/>
        </w:rPr>
        <w:t>The unnecessary carbon impact created by over-capacity from 2027-2050 are m</w:t>
      </w:r>
      <w:r>
        <w:rPr>
          <w:rFonts w:ascii="ArialMT" w:eastAsia="Times New Roman" w:hAnsi="ArialMT"/>
        </w:rPr>
        <w:t xml:space="preserve">uch greater than carbon impact created by the 2025 capacity gap. </w:t>
      </w:r>
      <w:r w:rsidR="00BB0641">
        <w:rPr>
          <w:rFonts w:ascii="ArialMT" w:eastAsia="Times New Roman" w:hAnsi="ArialMT"/>
        </w:rPr>
        <w:t>There is also a risk that focus on reducing this 2025 capacity gap will exacerbate over-capacity in later years.</w:t>
      </w:r>
    </w:p>
    <w:p w14:paraId="58A0FA56" w14:textId="77777777" w:rsidR="0030730D" w:rsidRDefault="0030730D" w:rsidP="0030730D">
      <w:pPr>
        <w:pStyle w:val="NormalWeb"/>
        <w:rPr>
          <w:rFonts w:ascii="ArialMT" w:eastAsia="Times New Roman" w:hAnsi="ArialMT"/>
        </w:rPr>
      </w:pPr>
    </w:p>
    <w:p w14:paraId="32B0AC74" w14:textId="77777777" w:rsidR="00C65C6A" w:rsidRDefault="00C65C6A" w:rsidP="0030730D">
      <w:pPr>
        <w:pStyle w:val="NormalWeb"/>
        <w:rPr>
          <w:rFonts w:ascii="ArialMT" w:eastAsia="Times New Roman" w:hAnsi="ArialMT"/>
        </w:rPr>
      </w:pPr>
      <w:r>
        <w:rPr>
          <w:rFonts w:ascii="ArialMT" w:eastAsia="Times New Roman" w:hAnsi="ArialMT"/>
        </w:rPr>
        <w:lastRenderedPageBreak/>
        <w:t xml:space="preserve">A rough calculation of the carbon impacts of the 2025 capacity gap and 2028-2050 over-capacity illustrates </w:t>
      </w:r>
      <w:r w:rsidR="00F967FA">
        <w:rPr>
          <w:rFonts w:ascii="ArialMT" w:eastAsia="Times New Roman" w:hAnsi="ArialMT"/>
        </w:rPr>
        <w:t>th</w:t>
      </w:r>
      <w:r w:rsidR="00BB0641">
        <w:rPr>
          <w:rFonts w:ascii="ArialMT" w:eastAsia="Times New Roman" w:hAnsi="ArialMT"/>
        </w:rPr>
        <w:t>e much greater scale of carbon impact from</w:t>
      </w:r>
      <w:r w:rsidR="00F967FA">
        <w:rPr>
          <w:rFonts w:ascii="ArialMT" w:eastAsia="Times New Roman" w:hAnsi="ArialMT"/>
        </w:rPr>
        <w:t xml:space="preserve"> over-capacity </w:t>
      </w:r>
      <w:r w:rsidR="00BB0641">
        <w:rPr>
          <w:rFonts w:ascii="ArialMT" w:eastAsia="Times New Roman" w:hAnsi="ArialMT"/>
        </w:rPr>
        <w:t>compared to</w:t>
      </w:r>
      <w:r w:rsidR="00F967FA">
        <w:rPr>
          <w:rFonts w:ascii="ArialMT" w:eastAsia="Times New Roman" w:hAnsi="ArialMT"/>
        </w:rPr>
        <w:t xml:space="preserve"> the 2025 capacity gap</w:t>
      </w:r>
      <w:r w:rsidR="002445CF">
        <w:rPr>
          <w:rFonts w:ascii="ArialMT" w:eastAsia="Times New Roman" w:hAnsi="ArialMT"/>
        </w:rPr>
        <w:t xml:space="preserve"> (Table 1 below)</w:t>
      </w:r>
      <w:r w:rsidR="00F967FA">
        <w:rPr>
          <w:rFonts w:ascii="ArialMT" w:eastAsia="Times New Roman" w:hAnsi="ArialMT"/>
        </w:rPr>
        <w:t>. To do this the following assumptions were made:</w:t>
      </w:r>
    </w:p>
    <w:p w14:paraId="3ED4B79B" w14:textId="77777777" w:rsidR="00F967FA" w:rsidRDefault="00F967FA" w:rsidP="00F967FA">
      <w:pPr>
        <w:pStyle w:val="NormalWeb"/>
        <w:numPr>
          <w:ilvl w:val="0"/>
          <w:numId w:val="7"/>
        </w:numPr>
        <w:rPr>
          <w:rFonts w:ascii="ArialMT" w:eastAsia="Times New Roman" w:hAnsi="ArialMT"/>
        </w:rPr>
      </w:pPr>
      <w:r>
        <w:rPr>
          <w:rFonts w:ascii="ArialMT" w:eastAsia="Times New Roman" w:hAnsi="ArialMT"/>
        </w:rPr>
        <w:t>The carbon factor for landfill was taken from the ZWS</w:t>
      </w:r>
      <w:r w:rsidR="00BB0641">
        <w:rPr>
          <w:rFonts w:ascii="ArialMT" w:eastAsia="Times New Roman" w:hAnsi="ArialMT"/>
        </w:rPr>
        <w:t xml:space="preserve"> incineration</w:t>
      </w:r>
      <w:r>
        <w:rPr>
          <w:rFonts w:ascii="ArialMT" w:eastAsia="Times New Roman" w:hAnsi="ArialMT"/>
        </w:rPr>
        <w:t xml:space="preserve"> report (337 kgCo2e/t). Note this does not include biogenic carbon stored in landfill, which would reduce the factor significantly.</w:t>
      </w:r>
    </w:p>
    <w:p w14:paraId="01948A82" w14:textId="77777777" w:rsidR="00F967FA" w:rsidRDefault="00F967FA" w:rsidP="00F967FA">
      <w:pPr>
        <w:pStyle w:val="NormalWeb"/>
        <w:numPr>
          <w:ilvl w:val="0"/>
          <w:numId w:val="7"/>
        </w:numPr>
        <w:rPr>
          <w:rFonts w:ascii="ArialMT" w:eastAsia="Times New Roman" w:hAnsi="ArialMT"/>
        </w:rPr>
      </w:pPr>
      <w:r>
        <w:rPr>
          <w:rFonts w:ascii="ArialMT" w:eastAsia="Times New Roman" w:hAnsi="ArialMT"/>
        </w:rPr>
        <w:t xml:space="preserve">The carbon factor for incineration was taken from the ZWS report (246 kgCO2e/t average for all incinerators). </w:t>
      </w:r>
    </w:p>
    <w:p w14:paraId="3A923E7F" w14:textId="77777777" w:rsidR="002445CF" w:rsidRDefault="002445CF" w:rsidP="00F967FA">
      <w:pPr>
        <w:pStyle w:val="NormalWeb"/>
        <w:numPr>
          <w:ilvl w:val="0"/>
          <w:numId w:val="7"/>
        </w:numPr>
        <w:rPr>
          <w:rFonts w:ascii="ArialMT" w:eastAsia="Times New Roman" w:hAnsi="ArialMT"/>
        </w:rPr>
      </w:pPr>
      <w:r>
        <w:rPr>
          <w:rFonts w:ascii="ArialMT" w:eastAsia="Times New Roman" w:hAnsi="ArialMT"/>
        </w:rPr>
        <w:t>The carbon factor for recycling was taken from ZWS Carbon Metric</w:t>
      </w:r>
      <w:r>
        <w:rPr>
          <w:rStyle w:val="FootnoteReference"/>
          <w:rFonts w:ascii="ArialMT" w:eastAsia="Times New Roman" w:hAnsi="ArialMT"/>
        </w:rPr>
        <w:footnoteReference w:id="16"/>
      </w:r>
      <w:r>
        <w:rPr>
          <w:rFonts w:ascii="ArialMT" w:eastAsia="Times New Roman" w:hAnsi="ArialMT"/>
        </w:rPr>
        <w:t xml:space="preserve"> (-649 kgCO2e/t for household and similar waste).</w:t>
      </w:r>
    </w:p>
    <w:p w14:paraId="17745A7E" w14:textId="77777777" w:rsidR="00F967FA" w:rsidRPr="00D674FD" w:rsidRDefault="00F967FA" w:rsidP="00F967FA">
      <w:pPr>
        <w:pStyle w:val="NormalWeb"/>
        <w:numPr>
          <w:ilvl w:val="0"/>
          <w:numId w:val="7"/>
        </w:numPr>
        <w:rPr>
          <w:rFonts w:ascii="ArialMT" w:eastAsia="Times New Roman" w:hAnsi="ArialMT"/>
        </w:rPr>
      </w:pPr>
      <w:r w:rsidRPr="00D674FD">
        <w:rPr>
          <w:rFonts w:ascii="ArialMT" w:eastAsia="Times New Roman" w:hAnsi="ArialMT"/>
        </w:rPr>
        <w:t>The capacity gap scenario assumed 0.5Mt was sent to landfill rather than incineration for one year</w:t>
      </w:r>
      <w:r w:rsidR="004F32CC" w:rsidRPr="00D674FD">
        <w:rPr>
          <w:rFonts w:ascii="ArialMT" w:eastAsia="Times New Roman" w:hAnsi="ArialMT"/>
        </w:rPr>
        <w:t xml:space="preserve"> (2025).</w:t>
      </w:r>
    </w:p>
    <w:p w14:paraId="65C0563C" w14:textId="77777777" w:rsidR="002445CF" w:rsidRPr="002445CF" w:rsidRDefault="00F967FA" w:rsidP="002445CF">
      <w:pPr>
        <w:pStyle w:val="NormalWeb"/>
        <w:numPr>
          <w:ilvl w:val="0"/>
          <w:numId w:val="7"/>
        </w:numPr>
        <w:rPr>
          <w:rFonts w:ascii="ArialMT" w:eastAsia="Times New Roman" w:hAnsi="ArialMT"/>
        </w:rPr>
      </w:pPr>
      <w:r w:rsidRPr="00D674FD">
        <w:rPr>
          <w:rFonts w:ascii="ArialMT" w:eastAsia="Times New Roman" w:hAnsi="ArialMT"/>
        </w:rPr>
        <w:t>The over-capacity scenario assumed</w:t>
      </w:r>
      <w:r>
        <w:rPr>
          <w:rFonts w:ascii="ArialMT" w:eastAsia="Times New Roman" w:hAnsi="ArialMT"/>
        </w:rPr>
        <w:t xml:space="preserve"> 0.1Mt was sent to </w:t>
      </w:r>
      <w:r w:rsidR="002445CF">
        <w:rPr>
          <w:rFonts w:ascii="ArialMT" w:eastAsia="Times New Roman" w:hAnsi="ArialMT"/>
        </w:rPr>
        <w:t xml:space="preserve">incineration rather than recycling for 22 years (2028-2050). This is based on Figure 2 in the Incineration </w:t>
      </w:r>
      <w:r w:rsidR="00AD77D1">
        <w:rPr>
          <w:rFonts w:ascii="ArialMT" w:eastAsia="Times New Roman" w:hAnsi="ArialMT"/>
        </w:rPr>
        <w:t>R</w:t>
      </w:r>
      <w:r w:rsidR="002445CF">
        <w:rPr>
          <w:rFonts w:ascii="ArialMT" w:eastAsia="Times New Roman" w:hAnsi="ArialMT"/>
        </w:rPr>
        <w:t>eview which shows that the difference between the "BAU total waste quantities” and “Best efforts total waste quantities” scenarios averages</w:t>
      </w:r>
      <w:r w:rsidR="00BB0641">
        <w:rPr>
          <w:rFonts w:ascii="ArialMT" w:eastAsia="Times New Roman" w:hAnsi="ArialMT"/>
        </w:rPr>
        <w:t>, roughly,</w:t>
      </w:r>
      <w:r w:rsidR="002445CF">
        <w:rPr>
          <w:rFonts w:ascii="ArialMT" w:eastAsia="Times New Roman" w:hAnsi="ArialMT"/>
        </w:rPr>
        <w:t xml:space="preserve"> about 0.1Mt per year.</w:t>
      </w:r>
    </w:p>
    <w:p w14:paraId="1EB91A0F" w14:textId="77777777" w:rsidR="00F967FA" w:rsidRDefault="00F967FA" w:rsidP="0030730D">
      <w:pPr>
        <w:pStyle w:val="NormalWeb"/>
        <w:rPr>
          <w:rFonts w:ascii="ArialMT" w:eastAsia="Times New Roman" w:hAnsi="ArialMT"/>
        </w:rPr>
      </w:pPr>
    </w:p>
    <w:p w14:paraId="3E297842" w14:textId="77777777" w:rsidR="00F967FA" w:rsidRPr="00F967FA" w:rsidRDefault="00F967FA" w:rsidP="0030730D">
      <w:pPr>
        <w:pStyle w:val="NormalWeb"/>
        <w:rPr>
          <w:rFonts w:ascii="ArialMT" w:eastAsia="Times New Roman" w:hAnsi="ArialMT"/>
          <w:b/>
        </w:rPr>
      </w:pPr>
      <w:r w:rsidRPr="00F967FA">
        <w:rPr>
          <w:rFonts w:ascii="ArialMT" w:eastAsia="Times New Roman" w:hAnsi="ArialMT"/>
          <w:b/>
        </w:rPr>
        <w:t>Table 1. Comparison of carbon impacts of capacity gap and over-capacity scenarios</w:t>
      </w:r>
    </w:p>
    <w:tbl>
      <w:tblPr>
        <w:tblStyle w:val="TableGrid"/>
        <w:tblW w:w="0" w:type="auto"/>
        <w:tblLook w:val="04A0" w:firstRow="1" w:lastRow="0" w:firstColumn="1" w:lastColumn="0" w:noHBand="0" w:noVBand="1"/>
      </w:tblPr>
      <w:tblGrid>
        <w:gridCol w:w="7083"/>
        <w:gridCol w:w="1927"/>
      </w:tblGrid>
      <w:tr w:rsidR="00F967FA" w14:paraId="0215308C" w14:textId="77777777" w:rsidTr="00D72F30">
        <w:tc>
          <w:tcPr>
            <w:tcW w:w="7083" w:type="dxa"/>
            <w:shd w:val="clear" w:color="auto" w:fill="D9D9D9" w:themeFill="background1" w:themeFillShade="D9"/>
          </w:tcPr>
          <w:p w14:paraId="57F74867" w14:textId="77777777" w:rsidR="00F967FA" w:rsidRPr="00AD07E4" w:rsidRDefault="00F967FA" w:rsidP="0030730D">
            <w:pPr>
              <w:pStyle w:val="NormalWeb"/>
              <w:rPr>
                <w:rFonts w:ascii="ArialMT" w:eastAsia="Times New Roman" w:hAnsi="ArialMT"/>
                <w:b/>
              </w:rPr>
            </w:pPr>
            <w:r w:rsidRPr="00AD07E4">
              <w:rPr>
                <w:rFonts w:ascii="ArialMT" w:eastAsia="Times New Roman" w:hAnsi="ArialMT"/>
                <w:b/>
              </w:rPr>
              <w:t>Scenario</w:t>
            </w:r>
          </w:p>
        </w:tc>
        <w:tc>
          <w:tcPr>
            <w:tcW w:w="1927" w:type="dxa"/>
            <w:shd w:val="clear" w:color="auto" w:fill="D9D9D9" w:themeFill="background1" w:themeFillShade="D9"/>
          </w:tcPr>
          <w:p w14:paraId="44A17BBF" w14:textId="77777777" w:rsidR="00F967FA" w:rsidRPr="00F967FA" w:rsidRDefault="00F967FA" w:rsidP="00D72F30">
            <w:pPr>
              <w:pStyle w:val="NormalWeb"/>
              <w:jc w:val="center"/>
              <w:rPr>
                <w:rFonts w:ascii="ArialMT" w:eastAsia="Times New Roman" w:hAnsi="ArialMT"/>
                <w:b/>
              </w:rPr>
            </w:pPr>
            <w:r w:rsidRPr="00F967FA">
              <w:rPr>
                <w:rFonts w:ascii="ArialMT" w:eastAsia="Times New Roman" w:hAnsi="ArialMT"/>
                <w:b/>
              </w:rPr>
              <w:t>Carbon impact (tCO</w:t>
            </w:r>
            <w:r w:rsidRPr="00F967FA">
              <w:rPr>
                <w:rFonts w:ascii="ArialMT" w:eastAsia="Times New Roman" w:hAnsi="ArialMT"/>
                <w:b/>
                <w:vertAlign w:val="subscript"/>
              </w:rPr>
              <w:t>2</w:t>
            </w:r>
            <w:r w:rsidRPr="00F967FA">
              <w:rPr>
                <w:rFonts w:ascii="ArialMT" w:eastAsia="Times New Roman" w:hAnsi="ArialMT"/>
                <w:b/>
              </w:rPr>
              <w:t>e)</w:t>
            </w:r>
          </w:p>
        </w:tc>
      </w:tr>
      <w:tr w:rsidR="00F967FA" w14:paraId="35E9323D" w14:textId="77777777" w:rsidTr="00D72F30">
        <w:tc>
          <w:tcPr>
            <w:tcW w:w="7083" w:type="dxa"/>
          </w:tcPr>
          <w:p w14:paraId="01F41C64" w14:textId="77777777" w:rsidR="00F967FA" w:rsidRPr="00AD07E4" w:rsidRDefault="00F967FA" w:rsidP="0030730D">
            <w:pPr>
              <w:pStyle w:val="NormalWeb"/>
              <w:rPr>
                <w:rFonts w:ascii="ArialMT" w:eastAsia="Times New Roman" w:hAnsi="ArialMT"/>
              </w:rPr>
            </w:pPr>
            <w:r w:rsidRPr="00AD07E4">
              <w:rPr>
                <w:rFonts w:ascii="ArialMT" w:eastAsia="Times New Roman" w:hAnsi="ArialMT"/>
              </w:rPr>
              <w:t>Sending 0.5Mt waste to landfill rather than incineration (2025 capacity gap)</w:t>
            </w:r>
          </w:p>
        </w:tc>
        <w:tc>
          <w:tcPr>
            <w:tcW w:w="1927" w:type="dxa"/>
          </w:tcPr>
          <w:p w14:paraId="0CF1DE48" w14:textId="77777777" w:rsidR="00F967FA" w:rsidRDefault="00F967FA" w:rsidP="00D72F30">
            <w:pPr>
              <w:pStyle w:val="NormalWeb"/>
              <w:jc w:val="center"/>
              <w:rPr>
                <w:rFonts w:ascii="ArialMT" w:eastAsia="Times New Roman" w:hAnsi="ArialMT"/>
              </w:rPr>
            </w:pPr>
            <w:r>
              <w:rPr>
                <w:rFonts w:ascii="ArialMT" w:eastAsia="Times New Roman" w:hAnsi="ArialMT"/>
              </w:rPr>
              <w:t>45,500</w:t>
            </w:r>
          </w:p>
        </w:tc>
      </w:tr>
      <w:tr w:rsidR="00F967FA" w14:paraId="1FE77EF2" w14:textId="77777777" w:rsidTr="00D72F30">
        <w:tc>
          <w:tcPr>
            <w:tcW w:w="7083" w:type="dxa"/>
          </w:tcPr>
          <w:p w14:paraId="4E392851" w14:textId="77777777" w:rsidR="00F967FA" w:rsidRDefault="00F967FA" w:rsidP="0030730D">
            <w:pPr>
              <w:pStyle w:val="NormalWeb"/>
              <w:rPr>
                <w:rFonts w:ascii="ArialMT" w:eastAsia="Times New Roman" w:hAnsi="ArialMT"/>
              </w:rPr>
            </w:pPr>
            <w:r>
              <w:rPr>
                <w:rFonts w:ascii="ArialMT" w:eastAsia="Times New Roman" w:hAnsi="ArialMT"/>
              </w:rPr>
              <w:t xml:space="preserve">Sending 0.1Mt waste per year to incineration </w:t>
            </w:r>
            <w:r w:rsidR="002445CF">
              <w:rPr>
                <w:rFonts w:ascii="ArialMT" w:eastAsia="Times New Roman" w:hAnsi="ArialMT"/>
              </w:rPr>
              <w:t xml:space="preserve">rather than recycling </w:t>
            </w:r>
            <w:r>
              <w:rPr>
                <w:rFonts w:ascii="ArialMT" w:eastAsia="Times New Roman" w:hAnsi="ArialMT"/>
              </w:rPr>
              <w:t>for 22 years</w:t>
            </w:r>
          </w:p>
        </w:tc>
        <w:tc>
          <w:tcPr>
            <w:tcW w:w="1927" w:type="dxa"/>
          </w:tcPr>
          <w:p w14:paraId="01CC911C" w14:textId="77777777" w:rsidR="00F967FA" w:rsidRDefault="002445CF" w:rsidP="00D72F30">
            <w:pPr>
              <w:pStyle w:val="NormalWeb"/>
              <w:jc w:val="center"/>
              <w:rPr>
                <w:rFonts w:ascii="ArialMT" w:eastAsia="Times New Roman" w:hAnsi="ArialMT"/>
              </w:rPr>
            </w:pPr>
            <w:r>
              <w:rPr>
                <w:rFonts w:ascii="ArialMT" w:eastAsia="Times New Roman" w:hAnsi="ArialMT"/>
              </w:rPr>
              <w:t>1,969,000</w:t>
            </w:r>
          </w:p>
        </w:tc>
      </w:tr>
    </w:tbl>
    <w:p w14:paraId="0EFDBDFF" w14:textId="77777777" w:rsidR="00F967FA" w:rsidRDefault="00F967FA" w:rsidP="0030730D">
      <w:pPr>
        <w:pStyle w:val="NormalWeb"/>
        <w:rPr>
          <w:rFonts w:ascii="ArialMT" w:eastAsia="Times New Roman" w:hAnsi="ArialMT"/>
        </w:rPr>
      </w:pPr>
    </w:p>
    <w:p w14:paraId="376E8CF8" w14:textId="77777777" w:rsidR="002445CF" w:rsidRDefault="002445CF" w:rsidP="0030730D">
      <w:pPr>
        <w:pStyle w:val="NormalWeb"/>
        <w:rPr>
          <w:rFonts w:ascii="ArialMT" w:eastAsia="Times New Roman" w:hAnsi="ArialMT"/>
        </w:rPr>
      </w:pPr>
      <w:r>
        <w:rPr>
          <w:rFonts w:ascii="ArialMT" w:eastAsia="Times New Roman" w:hAnsi="ArialMT"/>
        </w:rPr>
        <w:t xml:space="preserve">This rough calculation was deliberately conservative – it does not include potential additional recycling beyond the “Best efforts total waste quantities” scenario for example. </w:t>
      </w:r>
      <w:r w:rsidR="00D72F30">
        <w:rPr>
          <w:rFonts w:ascii="ArialMT" w:eastAsia="Times New Roman" w:hAnsi="ArialMT"/>
        </w:rPr>
        <w:t>T</w:t>
      </w:r>
      <w:r w:rsidR="008B6C44">
        <w:rPr>
          <w:rFonts w:ascii="ArialMT" w:eastAsia="Times New Roman" w:hAnsi="ArialMT"/>
        </w:rPr>
        <w:t xml:space="preserve">here </w:t>
      </w:r>
      <w:r w:rsidR="00D72F30">
        <w:rPr>
          <w:rFonts w:ascii="ArialMT" w:eastAsia="Times New Roman" w:hAnsi="ArialMT"/>
        </w:rPr>
        <w:t>is no</w:t>
      </w:r>
      <w:r w:rsidR="008B6C44">
        <w:rPr>
          <w:rFonts w:ascii="ArialMT" w:eastAsia="Times New Roman" w:hAnsi="ArialMT"/>
        </w:rPr>
        <w:t xml:space="preserve"> doubt that </w:t>
      </w:r>
      <w:r w:rsidR="00D72F30">
        <w:rPr>
          <w:rFonts w:ascii="ArialMT" w:eastAsia="Times New Roman" w:hAnsi="ArialMT"/>
        </w:rPr>
        <w:t>the greater climate risk is over-capacity in 2028-2050 than a capacity gap in 2025. P</w:t>
      </w:r>
      <w:r>
        <w:rPr>
          <w:rFonts w:ascii="ArialMT" w:eastAsia="Times New Roman" w:hAnsi="ArialMT"/>
        </w:rPr>
        <w:t xml:space="preserve">olicies which </w:t>
      </w:r>
      <w:r w:rsidR="008B6C44">
        <w:rPr>
          <w:rFonts w:ascii="ArialMT" w:eastAsia="Times New Roman" w:hAnsi="ArialMT"/>
        </w:rPr>
        <w:t>reduce</w:t>
      </w:r>
      <w:r>
        <w:rPr>
          <w:rFonts w:ascii="ArialMT" w:eastAsia="Times New Roman" w:hAnsi="ArialMT"/>
        </w:rPr>
        <w:t xml:space="preserve"> the capacity gap in 2025 at the expense of over-capacity in 2028-2050</w:t>
      </w:r>
      <w:r w:rsidR="008B6C44">
        <w:rPr>
          <w:rFonts w:ascii="ArialMT" w:eastAsia="Times New Roman" w:hAnsi="ArialMT"/>
        </w:rPr>
        <w:t xml:space="preserve"> (by creating unnecessary incineration capacity)</w:t>
      </w:r>
      <w:r>
        <w:rPr>
          <w:rFonts w:ascii="ArialMT" w:eastAsia="Times New Roman" w:hAnsi="ArialMT"/>
        </w:rPr>
        <w:t xml:space="preserve"> </w:t>
      </w:r>
      <w:r w:rsidR="00D72F30">
        <w:rPr>
          <w:rFonts w:ascii="ArialMT" w:eastAsia="Times New Roman" w:hAnsi="ArialMT"/>
        </w:rPr>
        <w:t xml:space="preserve">are extremely likely to </w:t>
      </w:r>
      <w:r w:rsidR="008B6C44">
        <w:rPr>
          <w:rFonts w:ascii="ArialMT" w:eastAsia="Times New Roman" w:hAnsi="ArialMT"/>
        </w:rPr>
        <w:t>have a substantial carbon impact.</w:t>
      </w:r>
    </w:p>
    <w:p w14:paraId="2722DBD0" w14:textId="77777777" w:rsidR="00FE446B" w:rsidRDefault="00FE446B" w:rsidP="0030730D">
      <w:pPr>
        <w:pStyle w:val="NormalWeb"/>
        <w:rPr>
          <w:rFonts w:ascii="ArialMT" w:eastAsia="Times New Roman" w:hAnsi="ArialMT"/>
        </w:rPr>
      </w:pPr>
    </w:p>
    <w:p w14:paraId="7F578C9B" w14:textId="303434F0" w:rsidR="008B6C44" w:rsidRDefault="008B6C44" w:rsidP="008B6C44">
      <w:pPr>
        <w:pStyle w:val="NormalWeb"/>
        <w:rPr>
          <w:rFonts w:ascii="ArialMT" w:eastAsia="Times New Roman" w:hAnsi="ArialMT"/>
        </w:rPr>
      </w:pPr>
      <w:r>
        <w:rPr>
          <w:rFonts w:ascii="ArialMT" w:eastAsia="Times New Roman" w:hAnsi="ArialMT"/>
        </w:rPr>
        <w:t xml:space="preserve">The statutory biodegradable municipal waste landfill ban is creating precisely the opposite incentive to that which is needed: local authorities are prioritising </w:t>
      </w:r>
      <w:r w:rsidR="004F32CC">
        <w:rPr>
          <w:rFonts w:ascii="ArialMT" w:eastAsia="Times New Roman" w:hAnsi="ArialMT"/>
        </w:rPr>
        <w:t xml:space="preserve">meeting </w:t>
      </w:r>
      <w:r>
        <w:rPr>
          <w:rFonts w:ascii="ArialMT" w:eastAsia="Times New Roman" w:hAnsi="ArialMT"/>
        </w:rPr>
        <w:t>the 2025 capacity gap over considerations of long-term carbon impacts of over-capacity of incineration. There are solutions to the 2025 capacity gap which do not increase the risk of incinerator lock-in</w:t>
      </w:r>
      <w:r w:rsidR="001277A9">
        <w:rPr>
          <w:rFonts w:ascii="ArialMT" w:eastAsia="Times New Roman" w:hAnsi="ArialMT"/>
        </w:rPr>
        <w:t xml:space="preserve"> which can be deployed quickly</w:t>
      </w:r>
      <w:r>
        <w:rPr>
          <w:rFonts w:ascii="ArialMT" w:eastAsia="Times New Roman" w:hAnsi="ArialMT"/>
        </w:rPr>
        <w:t xml:space="preserve">. </w:t>
      </w:r>
      <w:r w:rsidR="001277A9">
        <w:rPr>
          <w:rFonts w:ascii="ArialMT" w:eastAsia="Times New Roman" w:hAnsi="ArialMT"/>
        </w:rPr>
        <w:t>To immediately reduce emissions,</w:t>
      </w:r>
      <w:r>
        <w:rPr>
          <w:rFonts w:ascii="ArialMT" w:eastAsia="Times New Roman" w:hAnsi="ArialMT"/>
        </w:rPr>
        <w:t xml:space="preserve"> </w:t>
      </w:r>
      <w:r w:rsidR="001277A9">
        <w:rPr>
          <w:rFonts w:ascii="ArialMT" w:eastAsia="Times New Roman" w:hAnsi="ArialMT"/>
        </w:rPr>
        <w:t xml:space="preserve">in the short-term, </w:t>
      </w:r>
      <w:r>
        <w:rPr>
          <w:rFonts w:ascii="ArialMT" w:eastAsia="Times New Roman" w:hAnsi="ArialMT"/>
        </w:rPr>
        <w:t xml:space="preserve">waste could be </w:t>
      </w:r>
      <w:r w:rsidR="001277A9">
        <w:rPr>
          <w:rFonts w:ascii="ArialMT" w:eastAsia="Times New Roman" w:hAnsi="ArialMT"/>
        </w:rPr>
        <w:t>(</w:t>
      </w:r>
      <w:r w:rsidR="00500B41">
        <w:rPr>
          <w:rFonts w:ascii="ArialMT" w:eastAsia="Times New Roman" w:hAnsi="ArialMT"/>
        </w:rPr>
        <w:t>biostabilised</w:t>
      </w:r>
      <w:r w:rsidR="001277A9">
        <w:rPr>
          <w:rFonts w:ascii="ArialMT" w:eastAsia="Times New Roman" w:hAnsi="ArialMT"/>
        </w:rPr>
        <w:t>, if possible and then) landfilled</w:t>
      </w:r>
      <w:r>
        <w:rPr>
          <w:rFonts w:ascii="ArialMT" w:eastAsia="Times New Roman" w:hAnsi="ArialMT"/>
        </w:rPr>
        <w:t xml:space="preserve">. </w:t>
      </w:r>
      <w:r w:rsidR="00D72F30">
        <w:rPr>
          <w:rFonts w:ascii="ArialMT" w:eastAsia="Times New Roman" w:hAnsi="ArialMT"/>
        </w:rPr>
        <w:t>Longer term,</w:t>
      </w:r>
      <w:r>
        <w:rPr>
          <w:rFonts w:ascii="ArialMT" w:eastAsia="Times New Roman" w:hAnsi="ArialMT"/>
        </w:rPr>
        <w:t xml:space="preserve"> waste prevention </w:t>
      </w:r>
      <w:r w:rsidR="00D72F30">
        <w:rPr>
          <w:rFonts w:ascii="ArialMT" w:eastAsia="Times New Roman" w:hAnsi="ArialMT"/>
        </w:rPr>
        <w:t>and/</w:t>
      </w:r>
      <w:r>
        <w:rPr>
          <w:rFonts w:ascii="ArialMT" w:eastAsia="Times New Roman" w:hAnsi="ArialMT"/>
        </w:rPr>
        <w:t xml:space="preserve">or recycling measures </w:t>
      </w:r>
      <w:r w:rsidR="00D72F30">
        <w:rPr>
          <w:rFonts w:ascii="ArialMT" w:eastAsia="Times New Roman" w:hAnsi="ArialMT"/>
        </w:rPr>
        <w:t>are required</w:t>
      </w:r>
      <w:r>
        <w:rPr>
          <w:rFonts w:ascii="ArialMT" w:eastAsia="Times New Roman" w:hAnsi="ArialMT"/>
        </w:rPr>
        <w:t>.</w:t>
      </w:r>
    </w:p>
    <w:p w14:paraId="5CBA128A" w14:textId="77777777" w:rsidR="008B6C44" w:rsidRDefault="008B6C44" w:rsidP="0030730D">
      <w:pPr>
        <w:pStyle w:val="NormalWeb"/>
        <w:rPr>
          <w:rFonts w:ascii="ArialMT" w:eastAsia="Times New Roman" w:hAnsi="ArialMT"/>
        </w:rPr>
      </w:pPr>
    </w:p>
    <w:p w14:paraId="69661843" w14:textId="77777777" w:rsidR="00FE446B" w:rsidRDefault="00FE446B" w:rsidP="0030730D">
      <w:pPr>
        <w:pStyle w:val="NormalWeb"/>
        <w:rPr>
          <w:rFonts w:ascii="ArialMT" w:eastAsia="Times New Roman" w:hAnsi="ArialMT"/>
          <w:i/>
        </w:rPr>
      </w:pPr>
      <w:r w:rsidRPr="00FE446B">
        <w:rPr>
          <w:rFonts w:ascii="ArialMT" w:eastAsia="Times New Roman" w:hAnsi="ArialMT"/>
          <w:i/>
        </w:rPr>
        <w:t>Friends of the Earth Scotland recommends that the carbon impact of the 2025 capacity gap be compared to the carbon impact of over-capacity from 2028-2050</w:t>
      </w:r>
      <w:r>
        <w:rPr>
          <w:rFonts w:ascii="ArialMT" w:eastAsia="Times New Roman" w:hAnsi="ArialMT"/>
          <w:i/>
        </w:rPr>
        <w:t xml:space="preserve"> to give policy makers a clear indication </w:t>
      </w:r>
      <w:r w:rsidR="00500B41">
        <w:rPr>
          <w:rFonts w:ascii="ArialMT" w:eastAsia="Times New Roman" w:hAnsi="ArialMT"/>
          <w:i/>
        </w:rPr>
        <w:t xml:space="preserve">on </w:t>
      </w:r>
      <w:r w:rsidR="00D72F30">
        <w:rPr>
          <w:rFonts w:ascii="ArialMT" w:eastAsia="Times New Roman" w:hAnsi="ArialMT"/>
          <w:i/>
        </w:rPr>
        <w:t>how to prioritise the two concerns</w:t>
      </w:r>
      <w:r w:rsidRPr="00FE446B">
        <w:rPr>
          <w:rFonts w:ascii="ArialMT" w:eastAsia="Times New Roman" w:hAnsi="ArialMT"/>
          <w:i/>
        </w:rPr>
        <w:t>.</w:t>
      </w:r>
    </w:p>
    <w:p w14:paraId="0CBDC445" w14:textId="77777777" w:rsidR="008B6C44" w:rsidRDefault="008B6C44" w:rsidP="0030730D">
      <w:pPr>
        <w:pStyle w:val="NormalWeb"/>
        <w:rPr>
          <w:rFonts w:ascii="ArialMT" w:eastAsia="Times New Roman" w:hAnsi="ArialMT"/>
          <w:i/>
        </w:rPr>
      </w:pPr>
    </w:p>
    <w:p w14:paraId="347B6E7F" w14:textId="339419A4" w:rsidR="00FE446B" w:rsidRPr="001277A9" w:rsidRDefault="008B6C44" w:rsidP="001277A9">
      <w:pPr>
        <w:pStyle w:val="NormalWeb"/>
        <w:rPr>
          <w:rFonts w:ascii="ArialMT" w:eastAsia="Times New Roman" w:hAnsi="ArialMT"/>
          <w:i/>
        </w:rPr>
      </w:pPr>
      <w:r w:rsidRPr="00FE446B">
        <w:rPr>
          <w:rFonts w:ascii="ArialMT" w:eastAsia="Times New Roman" w:hAnsi="ArialMT"/>
          <w:i/>
        </w:rPr>
        <w:lastRenderedPageBreak/>
        <w:t>Friends of the Earth Scotland recommends</w:t>
      </w:r>
      <w:r>
        <w:rPr>
          <w:rFonts w:ascii="ArialMT" w:eastAsia="Times New Roman" w:hAnsi="ArialMT"/>
          <w:i/>
        </w:rPr>
        <w:t xml:space="preserve"> that the Scottish Government </w:t>
      </w:r>
      <w:r w:rsidR="001277A9">
        <w:rPr>
          <w:rFonts w:ascii="ArialMT" w:eastAsia="Times New Roman" w:hAnsi="ArialMT"/>
          <w:i/>
        </w:rPr>
        <w:t>explore changes to the 2025 biodegradable landfill ban which would remove incentives for local authorities to burn waste</w:t>
      </w:r>
      <w:r>
        <w:rPr>
          <w:rFonts w:ascii="ArialMT" w:eastAsia="Times New Roman" w:hAnsi="ArialMT"/>
          <w:i/>
        </w:rPr>
        <w:t xml:space="preserve">. Instead, local authorities </w:t>
      </w:r>
      <w:r w:rsidR="001277A9">
        <w:rPr>
          <w:rFonts w:ascii="ArialMT" w:eastAsia="Times New Roman" w:hAnsi="ArialMT"/>
          <w:i/>
        </w:rPr>
        <w:t>should</w:t>
      </w:r>
      <w:r>
        <w:rPr>
          <w:rFonts w:ascii="ArialMT" w:eastAsia="Times New Roman" w:hAnsi="ArialMT"/>
          <w:i/>
        </w:rPr>
        <w:t xml:space="preserve"> be required and supported to reduce the carbon impacts of their waste management activity</w:t>
      </w:r>
      <w:r w:rsidR="00D72F30">
        <w:rPr>
          <w:rFonts w:ascii="ArialMT" w:eastAsia="Times New Roman" w:hAnsi="ArialMT"/>
          <w:i/>
        </w:rPr>
        <w:t xml:space="preserve"> in ways which do not increase incinerator lock-in</w:t>
      </w:r>
      <w:r>
        <w:rPr>
          <w:rFonts w:ascii="ArialMT" w:eastAsia="Times New Roman" w:hAnsi="ArialMT"/>
          <w:i/>
        </w:rPr>
        <w:t>.</w:t>
      </w:r>
    </w:p>
    <w:p w14:paraId="7E4AD4FA" w14:textId="77777777" w:rsidR="00B73C7C" w:rsidRDefault="00B73C7C" w:rsidP="00FA5E48">
      <w:pPr>
        <w:rPr>
          <w:rFonts w:ascii="Arial" w:hAnsi="Arial" w:cs="Arial"/>
        </w:rPr>
      </w:pPr>
    </w:p>
    <w:p w14:paraId="17D968AB" w14:textId="1DBB8D13" w:rsidR="00FE446B" w:rsidRPr="00FE446B" w:rsidRDefault="00040C8F" w:rsidP="00362F0E">
      <w:pPr>
        <w:pStyle w:val="Heading2"/>
      </w:pPr>
      <w:bookmarkStart w:id="13" w:name="_Toc115343405"/>
      <w:r>
        <w:t>3</w:t>
      </w:r>
      <w:r w:rsidR="00FE446B" w:rsidRPr="00FE446B">
        <w:t>.2 An indictive cap will not be enough to curb incineration</w:t>
      </w:r>
      <w:bookmarkEnd w:id="13"/>
    </w:p>
    <w:p w14:paraId="0A9126B1" w14:textId="11596F55" w:rsidR="00461C77" w:rsidRDefault="00EA1711" w:rsidP="00FA5E48">
      <w:pPr>
        <w:rPr>
          <w:rFonts w:ascii="Arial" w:hAnsi="Arial" w:cs="Arial"/>
        </w:rPr>
      </w:pPr>
      <w:r w:rsidRPr="00424CC2">
        <w:rPr>
          <w:rFonts w:ascii="Arial" w:hAnsi="Arial" w:cs="Arial"/>
        </w:rPr>
        <w:t xml:space="preserve">The </w:t>
      </w:r>
      <w:r w:rsidR="009E3E87">
        <w:rPr>
          <w:rFonts w:ascii="Arial" w:hAnsi="Arial" w:cs="Arial"/>
        </w:rPr>
        <w:t xml:space="preserve">Incineration </w:t>
      </w:r>
      <w:r w:rsidRPr="00424CC2">
        <w:rPr>
          <w:rFonts w:ascii="Arial" w:hAnsi="Arial" w:cs="Arial"/>
        </w:rPr>
        <w:t xml:space="preserve">Review suggests that an “indicative cap” </w:t>
      </w:r>
      <w:r w:rsidR="009B6E0D">
        <w:rPr>
          <w:rFonts w:ascii="Arial" w:hAnsi="Arial" w:cs="Arial"/>
        </w:rPr>
        <w:t xml:space="preserve">could </w:t>
      </w:r>
      <w:r w:rsidRPr="00424CC2">
        <w:rPr>
          <w:rFonts w:ascii="Arial" w:hAnsi="Arial" w:cs="Arial"/>
        </w:rPr>
        <w:t>be used to support the decline of incineration capacity over time (Recommendation 5). Such a market-based tool is too vague to produce the desired results, which require a strong</w:t>
      </w:r>
      <w:r w:rsidR="00461C77">
        <w:rPr>
          <w:rFonts w:ascii="Arial" w:hAnsi="Arial" w:cs="Arial"/>
        </w:rPr>
        <w:t>er and</w:t>
      </w:r>
      <w:r w:rsidR="009B6E0D">
        <w:rPr>
          <w:rFonts w:ascii="Arial" w:hAnsi="Arial" w:cs="Arial"/>
        </w:rPr>
        <w:t xml:space="preserve"> clear</w:t>
      </w:r>
      <w:r w:rsidR="00461C77">
        <w:rPr>
          <w:rFonts w:ascii="Arial" w:hAnsi="Arial" w:cs="Arial"/>
        </w:rPr>
        <w:t>er</w:t>
      </w:r>
      <w:r w:rsidR="009B6E0D">
        <w:rPr>
          <w:rFonts w:ascii="Arial" w:hAnsi="Arial" w:cs="Arial"/>
        </w:rPr>
        <w:t xml:space="preserve"> </w:t>
      </w:r>
      <w:r w:rsidRPr="00424CC2">
        <w:rPr>
          <w:rFonts w:ascii="Arial" w:hAnsi="Arial" w:cs="Arial"/>
        </w:rPr>
        <w:t>commitment to reducing capacity</w:t>
      </w:r>
      <w:r w:rsidR="00D72F30">
        <w:rPr>
          <w:rFonts w:ascii="Arial" w:hAnsi="Arial" w:cs="Arial"/>
        </w:rPr>
        <w:t xml:space="preserve"> fast</w:t>
      </w:r>
      <w:r w:rsidRPr="00424CC2">
        <w:rPr>
          <w:rFonts w:ascii="Arial" w:hAnsi="Arial" w:cs="Arial"/>
        </w:rPr>
        <w:t>.</w:t>
      </w:r>
      <w:r w:rsidR="0034133F" w:rsidRPr="00424CC2">
        <w:rPr>
          <w:rFonts w:ascii="Arial" w:hAnsi="Arial" w:cs="Arial"/>
        </w:rPr>
        <w:t xml:space="preserve"> </w:t>
      </w:r>
      <w:r w:rsidR="00461C77">
        <w:rPr>
          <w:rFonts w:ascii="Arial" w:hAnsi="Arial" w:cs="Arial"/>
        </w:rPr>
        <w:t>It is unclear if the indicative cap is m</w:t>
      </w:r>
      <w:r w:rsidR="0034133F" w:rsidRPr="00424CC2">
        <w:rPr>
          <w:rFonts w:ascii="Arial" w:hAnsi="Arial" w:cs="Arial"/>
        </w:rPr>
        <w:t>eant</w:t>
      </w:r>
      <w:r w:rsidR="00461C77">
        <w:rPr>
          <w:rFonts w:ascii="Arial" w:hAnsi="Arial" w:cs="Arial"/>
        </w:rPr>
        <w:t xml:space="preserve"> as a</w:t>
      </w:r>
      <w:r w:rsidR="0034133F" w:rsidRPr="00424CC2">
        <w:rPr>
          <w:rFonts w:ascii="Arial" w:hAnsi="Arial" w:cs="Arial"/>
        </w:rPr>
        <w:t xml:space="preserve"> to signal to Government or industry</w:t>
      </w:r>
      <w:r w:rsidR="00D72F30">
        <w:rPr>
          <w:rFonts w:ascii="Arial" w:hAnsi="Arial" w:cs="Arial"/>
        </w:rPr>
        <w:t xml:space="preserve"> or both</w:t>
      </w:r>
      <w:r w:rsidR="00461C77">
        <w:rPr>
          <w:rFonts w:ascii="Arial" w:hAnsi="Arial" w:cs="Arial"/>
        </w:rPr>
        <w:t>.</w:t>
      </w:r>
      <w:r w:rsidR="0034133F" w:rsidRPr="00424CC2">
        <w:rPr>
          <w:rFonts w:ascii="Arial" w:hAnsi="Arial" w:cs="Arial"/>
        </w:rPr>
        <w:t xml:space="preserve"> </w:t>
      </w:r>
    </w:p>
    <w:p w14:paraId="7D85FB1C" w14:textId="77777777" w:rsidR="00461C77" w:rsidRDefault="00461C77" w:rsidP="00FA5E48">
      <w:pPr>
        <w:rPr>
          <w:rFonts w:ascii="Arial" w:hAnsi="Arial" w:cs="Arial"/>
        </w:rPr>
      </w:pPr>
    </w:p>
    <w:p w14:paraId="17FF64D3" w14:textId="3AACF5E2" w:rsidR="00EA1711" w:rsidRPr="00424CC2" w:rsidRDefault="00461C77" w:rsidP="00FA5E48">
      <w:pPr>
        <w:rPr>
          <w:rFonts w:ascii="Arial" w:hAnsi="Arial" w:cs="Arial"/>
        </w:rPr>
      </w:pPr>
      <w:r>
        <w:rPr>
          <w:rFonts w:ascii="Arial" w:hAnsi="Arial" w:cs="Arial"/>
        </w:rPr>
        <w:t xml:space="preserve">An “indicative cap” could create a “Tragedy of the Commons” </w:t>
      </w:r>
      <w:r w:rsidR="00D72F30">
        <w:rPr>
          <w:rFonts w:ascii="Arial" w:hAnsi="Arial" w:cs="Arial"/>
        </w:rPr>
        <w:t xml:space="preserve">effect </w:t>
      </w:r>
      <w:r>
        <w:rPr>
          <w:rFonts w:ascii="Arial" w:hAnsi="Arial" w:cs="Arial"/>
        </w:rPr>
        <w:t xml:space="preserve">where each individual decides to act in their self-interests, leading to a disastrous environmental outcome for all. Each incinerator plant operator or local authority will conclude that their plant should not be the one to close in order to meet the cap each year. The result would be a lack of </w:t>
      </w:r>
      <w:r w:rsidR="009E3E87">
        <w:rPr>
          <w:rFonts w:ascii="Arial" w:hAnsi="Arial" w:cs="Arial"/>
        </w:rPr>
        <w:t xml:space="preserve">action to </w:t>
      </w:r>
      <w:r>
        <w:rPr>
          <w:rFonts w:ascii="Arial" w:hAnsi="Arial" w:cs="Arial"/>
        </w:rPr>
        <w:t>reduc</w:t>
      </w:r>
      <w:r w:rsidR="009E3E87">
        <w:rPr>
          <w:rFonts w:ascii="Arial" w:hAnsi="Arial" w:cs="Arial"/>
        </w:rPr>
        <w:t>e</w:t>
      </w:r>
      <w:r>
        <w:rPr>
          <w:rFonts w:ascii="Arial" w:hAnsi="Arial" w:cs="Arial"/>
        </w:rPr>
        <w:t xml:space="preserve"> national incineration capacity.</w:t>
      </w:r>
    </w:p>
    <w:p w14:paraId="3BCBABAC" w14:textId="77777777" w:rsidR="00EA1711" w:rsidRPr="00424CC2" w:rsidRDefault="00EA1711" w:rsidP="00FA5E48">
      <w:pPr>
        <w:rPr>
          <w:rFonts w:ascii="Arial" w:hAnsi="Arial" w:cs="Arial"/>
        </w:rPr>
      </w:pPr>
    </w:p>
    <w:p w14:paraId="0F85C818" w14:textId="1861A251" w:rsidR="00EA1711" w:rsidRDefault="00461C77" w:rsidP="00FA5E48">
      <w:pPr>
        <w:rPr>
          <w:rFonts w:ascii="Arial" w:hAnsi="Arial" w:cs="Arial"/>
        </w:rPr>
      </w:pPr>
      <w:r>
        <w:rPr>
          <w:rFonts w:ascii="Arial" w:hAnsi="Arial" w:cs="Arial"/>
        </w:rPr>
        <w:t xml:space="preserve">Another problem with this approach that makes it unworkable is that </w:t>
      </w:r>
      <w:r w:rsidR="00EA1711" w:rsidRPr="00424CC2">
        <w:rPr>
          <w:rFonts w:ascii="Arial" w:hAnsi="Arial" w:cs="Arial"/>
        </w:rPr>
        <w:t>take too long to set up. The sooner decisions can be made</w:t>
      </w:r>
      <w:r w:rsidR="005617C0" w:rsidRPr="00424CC2">
        <w:rPr>
          <w:rFonts w:ascii="Arial" w:hAnsi="Arial" w:cs="Arial"/>
        </w:rPr>
        <w:t>,</w:t>
      </w:r>
      <w:r w:rsidR="00EA1711" w:rsidRPr="00424CC2">
        <w:rPr>
          <w:rFonts w:ascii="Arial" w:hAnsi="Arial" w:cs="Arial"/>
        </w:rPr>
        <w:t xml:space="preserve"> the less wasted effort (and money) will be put into incinerators which must close early or be stopped from beginning operations at all. </w:t>
      </w:r>
      <w:r w:rsidR="005617C0" w:rsidRPr="00424CC2">
        <w:rPr>
          <w:rFonts w:ascii="Arial" w:hAnsi="Arial" w:cs="Arial"/>
        </w:rPr>
        <w:t xml:space="preserve">The Incineration Review lists seven separate considerations </w:t>
      </w:r>
      <w:r>
        <w:rPr>
          <w:rFonts w:ascii="Arial" w:hAnsi="Arial" w:cs="Arial"/>
        </w:rPr>
        <w:t xml:space="preserve">and/or activities </w:t>
      </w:r>
      <w:r w:rsidR="005617C0" w:rsidRPr="00424CC2">
        <w:rPr>
          <w:rFonts w:ascii="Arial" w:hAnsi="Arial" w:cs="Arial"/>
        </w:rPr>
        <w:t>for the Scottish Government</w:t>
      </w:r>
      <w:r>
        <w:rPr>
          <w:rFonts w:ascii="Arial" w:hAnsi="Arial" w:cs="Arial"/>
        </w:rPr>
        <w:t xml:space="preserve"> (</w:t>
      </w:r>
      <w:r w:rsidR="005617C0" w:rsidRPr="00424CC2">
        <w:rPr>
          <w:rFonts w:ascii="Arial" w:hAnsi="Arial" w:cs="Arial"/>
        </w:rPr>
        <w:t>to be carried out with stakeholders</w:t>
      </w:r>
      <w:r>
        <w:rPr>
          <w:rFonts w:ascii="Arial" w:hAnsi="Arial" w:cs="Arial"/>
        </w:rPr>
        <w:t>)</w:t>
      </w:r>
      <w:r w:rsidR="005617C0" w:rsidRPr="00424CC2">
        <w:rPr>
          <w:rFonts w:ascii="Arial" w:hAnsi="Arial" w:cs="Arial"/>
        </w:rPr>
        <w:t xml:space="preserve"> which must be co</w:t>
      </w:r>
      <w:r>
        <w:rPr>
          <w:rFonts w:ascii="Arial" w:hAnsi="Arial" w:cs="Arial"/>
        </w:rPr>
        <w:t>mpleted</w:t>
      </w:r>
      <w:r w:rsidR="005617C0" w:rsidRPr="00424CC2">
        <w:rPr>
          <w:rFonts w:ascii="Arial" w:hAnsi="Arial" w:cs="Arial"/>
        </w:rPr>
        <w:t xml:space="preserve"> in order to create the cap</w:t>
      </w:r>
      <w:r w:rsidR="005617C0" w:rsidRPr="00424CC2">
        <w:rPr>
          <w:rStyle w:val="FootnoteReference"/>
          <w:rFonts w:ascii="Arial" w:hAnsi="Arial" w:cs="Arial"/>
        </w:rPr>
        <w:footnoteReference w:id="17"/>
      </w:r>
      <w:r w:rsidR="005617C0" w:rsidRPr="00424CC2">
        <w:rPr>
          <w:rFonts w:ascii="Arial" w:hAnsi="Arial" w:cs="Arial"/>
        </w:rPr>
        <w:t>. These include improving waste data and modelling regional demand for waste</w:t>
      </w:r>
      <w:r>
        <w:rPr>
          <w:rFonts w:ascii="Arial" w:hAnsi="Arial" w:cs="Arial"/>
        </w:rPr>
        <w:t xml:space="preserve"> – tasks that will take year</w:t>
      </w:r>
      <w:r w:rsidR="009E3E87">
        <w:rPr>
          <w:rFonts w:ascii="Arial" w:hAnsi="Arial" w:cs="Arial"/>
        </w:rPr>
        <w:t>s</w:t>
      </w:r>
      <w:r w:rsidR="005617C0" w:rsidRPr="00424CC2">
        <w:rPr>
          <w:rFonts w:ascii="Arial" w:hAnsi="Arial" w:cs="Arial"/>
        </w:rPr>
        <w:t xml:space="preserve"> to implement.</w:t>
      </w:r>
      <w:r w:rsidR="00212849" w:rsidRPr="00424CC2">
        <w:rPr>
          <w:rFonts w:ascii="Arial" w:hAnsi="Arial" w:cs="Arial"/>
        </w:rPr>
        <w:t xml:space="preserve"> To reduce Scotland’s incineration capacity in the future, the Scottish Government must influence decisions being made today. </w:t>
      </w:r>
    </w:p>
    <w:p w14:paraId="1A59F5B2" w14:textId="77777777" w:rsidR="00461C77" w:rsidRDefault="00461C77" w:rsidP="00FA5E48">
      <w:pPr>
        <w:rPr>
          <w:rFonts w:ascii="Arial" w:hAnsi="Arial" w:cs="Arial"/>
        </w:rPr>
      </w:pPr>
    </w:p>
    <w:p w14:paraId="08337141" w14:textId="749CAE47" w:rsidR="00461C77" w:rsidRPr="00461C77" w:rsidRDefault="00461C77" w:rsidP="00FA5E48">
      <w:pPr>
        <w:rPr>
          <w:rFonts w:ascii="Arial" w:hAnsi="Arial" w:cs="Arial"/>
          <w:i/>
        </w:rPr>
      </w:pPr>
      <w:r w:rsidRPr="00461C77">
        <w:rPr>
          <w:rFonts w:ascii="Arial" w:hAnsi="Arial" w:cs="Arial"/>
          <w:i/>
        </w:rPr>
        <w:t xml:space="preserve">Friends of the Earth Scotland </w:t>
      </w:r>
      <w:r w:rsidR="00F67851">
        <w:rPr>
          <w:rFonts w:ascii="Arial" w:hAnsi="Arial" w:cs="Arial"/>
          <w:i/>
        </w:rPr>
        <w:t xml:space="preserve">recommends that the Decarbonisation </w:t>
      </w:r>
      <w:r w:rsidR="00C2010D">
        <w:rPr>
          <w:rFonts w:ascii="Arial" w:hAnsi="Arial" w:cs="Arial"/>
          <w:i/>
        </w:rPr>
        <w:t>Study</w:t>
      </w:r>
      <w:r w:rsidR="00F67851">
        <w:rPr>
          <w:rFonts w:ascii="Arial" w:hAnsi="Arial" w:cs="Arial"/>
          <w:i/>
        </w:rPr>
        <w:t xml:space="preserve"> includes alternative suggestions to the indicative cap (Recommendation 5) suggested in the Incineration Revie</w:t>
      </w:r>
      <w:r w:rsidR="00B73C7C">
        <w:rPr>
          <w:rFonts w:ascii="Arial" w:hAnsi="Arial" w:cs="Arial"/>
          <w:i/>
        </w:rPr>
        <w:t>w</w:t>
      </w:r>
      <w:r w:rsidR="00F67851">
        <w:rPr>
          <w:rFonts w:ascii="Arial" w:hAnsi="Arial" w:cs="Arial"/>
          <w:i/>
        </w:rPr>
        <w:t xml:space="preserve"> as</w:t>
      </w:r>
      <w:r>
        <w:rPr>
          <w:rFonts w:ascii="Arial" w:hAnsi="Arial" w:cs="Arial"/>
          <w:i/>
        </w:rPr>
        <w:t xml:space="preserve"> </w:t>
      </w:r>
      <w:r w:rsidRPr="00461C77">
        <w:rPr>
          <w:rFonts w:ascii="Arial" w:hAnsi="Arial" w:cs="Arial"/>
          <w:i/>
        </w:rPr>
        <w:t xml:space="preserve">an indicative cap </w:t>
      </w:r>
      <w:r>
        <w:rPr>
          <w:rFonts w:ascii="Arial" w:hAnsi="Arial" w:cs="Arial"/>
          <w:i/>
        </w:rPr>
        <w:t xml:space="preserve">is too weak and slow a policy tool to be an effective driver </w:t>
      </w:r>
      <w:r w:rsidRPr="00461C77">
        <w:rPr>
          <w:rFonts w:ascii="Arial" w:hAnsi="Arial" w:cs="Arial"/>
          <w:i/>
        </w:rPr>
        <w:t>to reduce national incineration capacity.</w:t>
      </w:r>
      <w:r w:rsidR="00B73C7C">
        <w:rPr>
          <w:rFonts w:ascii="Arial" w:hAnsi="Arial" w:cs="Arial"/>
          <w:i/>
        </w:rPr>
        <w:t xml:space="preserve"> The alternative suggestions should include a schedule to close individual incinerator plants in Scotland.</w:t>
      </w:r>
    </w:p>
    <w:p w14:paraId="7FE254A1" w14:textId="77777777" w:rsidR="00B73C7C" w:rsidRDefault="00B73C7C" w:rsidP="00FA5E48">
      <w:pPr>
        <w:rPr>
          <w:rFonts w:ascii="Arial" w:hAnsi="Arial" w:cs="Arial"/>
        </w:rPr>
      </w:pPr>
    </w:p>
    <w:p w14:paraId="28D59CE6" w14:textId="42C6D62F" w:rsidR="00FE446B" w:rsidRPr="00FE446B" w:rsidRDefault="00040C8F" w:rsidP="00362F0E">
      <w:pPr>
        <w:pStyle w:val="Heading2"/>
      </w:pPr>
      <w:bookmarkStart w:id="14" w:name="_Toc115343406"/>
      <w:r>
        <w:t>3</w:t>
      </w:r>
      <w:r w:rsidR="00FE446B" w:rsidRPr="00FE446B">
        <w:t>.3 Prioritise incinerators for closure</w:t>
      </w:r>
      <w:bookmarkEnd w:id="14"/>
      <w:r w:rsidR="00FE446B" w:rsidRPr="00FE446B">
        <w:t xml:space="preserve"> </w:t>
      </w:r>
    </w:p>
    <w:p w14:paraId="25F0F980" w14:textId="55C56892" w:rsidR="0034133F" w:rsidRPr="00424CC2" w:rsidRDefault="00D13231" w:rsidP="00FA5E48">
      <w:pPr>
        <w:rPr>
          <w:rFonts w:ascii="Arial" w:hAnsi="Arial" w:cs="Arial"/>
        </w:rPr>
      </w:pPr>
      <w:r>
        <w:rPr>
          <w:rFonts w:ascii="Arial" w:hAnsi="Arial" w:cs="Arial"/>
        </w:rPr>
        <w:t>A</w:t>
      </w:r>
      <w:r w:rsidR="00500B41">
        <w:rPr>
          <w:rFonts w:ascii="Arial" w:hAnsi="Arial" w:cs="Arial"/>
        </w:rPr>
        <w:t xml:space="preserve"> more detailed exit plan is required which sets dates of closure for individual plants.</w:t>
      </w:r>
      <w:r>
        <w:rPr>
          <w:rFonts w:ascii="Arial" w:hAnsi="Arial" w:cs="Arial"/>
        </w:rPr>
        <w:t xml:space="preserve"> As detailed in Section 3.3 </w:t>
      </w:r>
      <w:r w:rsidRPr="00A174B3">
        <w:rPr>
          <w:rFonts w:ascii="Arial" w:hAnsi="Arial" w:cs="Arial"/>
        </w:rPr>
        <w:t>above, the</w:t>
      </w:r>
      <w:r w:rsidR="00A174B3" w:rsidRPr="00A174B3">
        <w:rPr>
          <w:rFonts w:ascii="Arial" w:hAnsi="Arial" w:cs="Arial"/>
        </w:rPr>
        <w:t xml:space="preserve"> process adopted in</w:t>
      </w:r>
      <w:r w:rsidRPr="00A174B3">
        <w:rPr>
          <w:rFonts w:ascii="Arial" w:hAnsi="Arial" w:cs="Arial"/>
        </w:rPr>
        <w:t xml:space="preserve"> German Coal Exit Law could be used as a template for a phase out of incinerators</w:t>
      </w:r>
      <w:r w:rsidR="00A174B3" w:rsidRPr="00A174B3">
        <w:rPr>
          <w:rStyle w:val="FootnoteReference"/>
          <w:rFonts w:ascii="Arial" w:hAnsi="Arial" w:cs="Arial"/>
        </w:rPr>
        <w:footnoteReference w:id="18"/>
      </w:r>
      <w:r w:rsidRPr="00A174B3">
        <w:rPr>
          <w:rFonts w:ascii="Arial" w:hAnsi="Arial" w:cs="Arial"/>
        </w:rPr>
        <w:t>.</w:t>
      </w:r>
      <w:r w:rsidR="00500B41" w:rsidRPr="00A174B3">
        <w:rPr>
          <w:rFonts w:ascii="Arial" w:hAnsi="Arial" w:cs="Arial"/>
        </w:rPr>
        <w:t xml:space="preserve"> </w:t>
      </w:r>
      <w:r w:rsidR="0034133F" w:rsidRPr="00A174B3">
        <w:rPr>
          <w:rFonts w:ascii="Arial" w:hAnsi="Arial" w:cs="Arial"/>
          <w:b/>
        </w:rPr>
        <w:t>Instead</w:t>
      </w:r>
      <w:r w:rsidR="0034133F" w:rsidRPr="00500B41">
        <w:rPr>
          <w:rFonts w:ascii="Arial" w:hAnsi="Arial" w:cs="Arial"/>
          <w:b/>
        </w:rPr>
        <w:t xml:space="preserve"> of a cap, </w:t>
      </w:r>
      <w:r w:rsidR="00500B41" w:rsidRPr="00500B41">
        <w:rPr>
          <w:rFonts w:ascii="Arial" w:hAnsi="Arial" w:cs="Arial"/>
          <w:b/>
        </w:rPr>
        <w:t>t</w:t>
      </w:r>
      <w:r w:rsidR="0034133F" w:rsidRPr="00500B41">
        <w:rPr>
          <w:rFonts w:ascii="Arial" w:hAnsi="Arial" w:cs="Arial"/>
          <w:b/>
        </w:rPr>
        <w:t xml:space="preserve">he Scottish Government should </w:t>
      </w:r>
      <w:r w:rsidR="00727839" w:rsidRPr="00500B41">
        <w:rPr>
          <w:rFonts w:ascii="Arial" w:hAnsi="Arial" w:cs="Arial"/>
          <w:b/>
        </w:rPr>
        <w:t xml:space="preserve">select incinerators for closure based on a </w:t>
      </w:r>
      <w:r w:rsidR="005617C0" w:rsidRPr="00500B41">
        <w:rPr>
          <w:rFonts w:ascii="Arial" w:hAnsi="Arial" w:cs="Arial"/>
          <w:b/>
        </w:rPr>
        <w:t xml:space="preserve">set of criteria </w:t>
      </w:r>
      <w:r w:rsidR="00727839" w:rsidRPr="00500B41">
        <w:rPr>
          <w:rFonts w:ascii="Arial" w:hAnsi="Arial" w:cs="Arial"/>
          <w:b/>
        </w:rPr>
        <w:t>designed to decarbonise the sector as fast and as much as possible</w:t>
      </w:r>
      <w:r w:rsidR="005617C0" w:rsidRPr="00500B41">
        <w:rPr>
          <w:rFonts w:ascii="Arial" w:hAnsi="Arial" w:cs="Arial"/>
          <w:b/>
        </w:rPr>
        <w:t xml:space="preserve">. </w:t>
      </w:r>
    </w:p>
    <w:p w14:paraId="28A06417" w14:textId="77777777" w:rsidR="005617C0" w:rsidRDefault="005617C0" w:rsidP="005617C0">
      <w:pPr>
        <w:rPr>
          <w:rFonts w:ascii="Arial" w:hAnsi="Arial" w:cs="Arial"/>
        </w:rPr>
      </w:pPr>
    </w:p>
    <w:p w14:paraId="4F2AB110" w14:textId="319E969F" w:rsidR="00A174B3" w:rsidRDefault="00A174B3" w:rsidP="00727839">
      <w:pPr>
        <w:rPr>
          <w:rFonts w:ascii="Arial" w:hAnsi="Arial" w:cs="Arial"/>
        </w:rPr>
      </w:pPr>
      <w:r>
        <w:rPr>
          <w:rFonts w:ascii="Arial" w:hAnsi="Arial" w:cs="Arial"/>
        </w:rPr>
        <w:t xml:space="preserve">The incinerator </w:t>
      </w:r>
      <w:proofErr w:type="gramStart"/>
      <w:r>
        <w:rPr>
          <w:rFonts w:ascii="Arial" w:hAnsi="Arial" w:cs="Arial"/>
        </w:rPr>
        <w:t>phase</w:t>
      </w:r>
      <w:proofErr w:type="gramEnd"/>
      <w:r>
        <w:rPr>
          <w:rFonts w:ascii="Arial" w:hAnsi="Arial" w:cs="Arial"/>
        </w:rPr>
        <w:t xml:space="preserve"> out plan must align to Scotland’s 2045 climate targets, as incinerator</w:t>
      </w:r>
      <w:r w:rsidR="009E3E87">
        <w:rPr>
          <w:rFonts w:ascii="Arial" w:hAnsi="Arial" w:cs="Arial"/>
        </w:rPr>
        <w:t>s</w:t>
      </w:r>
      <w:r>
        <w:rPr>
          <w:rFonts w:ascii="Arial" w:hAnsi="Arial" w:cs="Arial"/>
        </w:rPr>
        <w:t xml:space="preserve"> are </w:t>
      </w:r>
      <w:r w:rsidR="009E3E87">
        <w:rPr>
          <w:rFonts w:ascii="Arial" w:hAnsi="Arial" w:cs="Arial"/>
        </w:rPr>
        <w:t xml:space="preserve">some of Scotland’s </w:t>
      </w:r>
      <w:r>
        <w:rPr>
          <w:rFonts w:ascii="Arial" w:hAnsi="Arial" w:cs="Arial"/>
        </w:rPr>
        <w:t>large</w:t>
      </w:r>
      <w:r w:rsidR="009E3E87">
        <w:rPr>
          <w:rFonts w:ascii="Arial" w:hAnsi="Arial" w:cs="Arial"/>
        </w:rPr>
        <w:t>st</w:t>
      </w:r>
      <w:r>
        <w:rPr>
          <w:rFonts w:ascii="Arial" w:hAnsi="Arial" w:cs="Arial"/>
        </w:rPr>
        <w:t xml:space="preserve"> point sources of GHG emission</w:t>
      </w:r>
      <w:r w:rsidRPr="00AD07E4">
        <w:rPr>
          <w:rFonts w:ascii="Arial" w:hAnsi="Arial" w:cs="Arial"/>
        </w:rPr>
        <w:t>s</w:t>
      </w:r>
      <w:r w:rsidR="009E3E87">
        <w:rPr>
          <w:rStyle w:val="FootnoteReference"/>
          <w:rFonts w:ascii="Arial" w:hAnsi="Arial" w:cs="Arial"/>
        </w:rPr>
        <w:footnoteReference w:id="19"/>
      </w:r>
      <w:r w:rsidRPr="00AD07E4">
        <w:rPr>
          <w:rFonts w:ascii="Arial" w:hAnsi="Arial" w:cs="Arial"/>
        </w:rPr>
        <w:t xml:space="preserve">. The Decarbonisation Study should establish how much incineration capacity will be </w:t>
      </w:r>
      <w:r w:rsidRPr="00AD07E4">
        <w:rPr>
          <w:rFonts w:ascii="Arial" w:hAnsi="Arial" w:cs="Arial"/>
        </w:rPr>
        <w:lastRenderedPageBreak/>
        <w:t>required by 2045. Figure 2 in the Incineration Review report indicates that this may be about 0.5Mt, if recycling targets are met.</w:t>
      </w:r>
      <w:r>
        <w:rPr>
          <w:rFonts w:ascii="Arial" w:hAnsi="Arial" w:cs="Arial"/>
        </w:rPr>
        <w:t xml:space="preserve"> </w:t>
      </w:r>
    </w:p>
    <w:p w14:paraId="6DBA85AB" w14:textId="77777777" w:rsidR="00A174B3" w:rsidRDefault="00A174B3" w:rsidP="00727839">
      <w:pPr>
        <w:rPr>
          <w:rFonts w:ascii="Arial" w:hAnsi="Arial" w:cs="Arial"/>
        </w:rPr>
      </w:pPr>
    </w:p>
    <w:p w14:paraId="2C2C8FDD" w14:textId="2291EC3A" w:rsidR="00027C6E" w:rsidRDefault="00727839" w:rsidP="00727839">
      <w:pPr>
        <w:rPr>
          <w:rFonts w:ascii="Arial" w:hAnsi="Arial" w:cs="Arial"/>
        </w:rPr>
      </w:pPr>
      <w:r>
        <w:rPr>
          <w:rFonts w:ascii="Arial" w:hAnsi="Arial" w:cs="Arial"/>
        </w:rPr>
        <w:t xml:space="preserve">A starting point for designing these criteria should be an analysis of how to </w:t>
      </w:r>
      <w:r w:rsidR="000D49F8">
        <w:rPr>
          <w:rFonts w:ascii="Arial" w:hAnsi="Arial" w:cs="Arial"/>
        </w:rPr>
        <w:t xml:space="preserve">ensure </w:t>
      </w:r>
      <w:r>
        <w:rPr>
          <w:rFonts w:ascii="Arial" w:hAnsi="Arial" w:cs="Arial"/>
        </w:rPr>
        <w:t>incineration capacity required by 20</w:t>
      </w:r>
      <w:r w:rsidR="000D49F8">
        <w:rPr>
          <w:rFonts w:ascii="Arial" w:hAnsi="Arial" w:cs="Arial"/>
        </w:rPr>
        <w:t>45</w:t>
      </w:r>
      <w:r>
        <w:rPr>
          <w:rFonts w:ascii="Arial" w:hAnsi="Arial" w:cs="Arial"/>
        </w:rPr>
        <w:t xml:space="preserve"> has the lowest carbon intensity possible. This may mean</w:t>
      </w:r>
      <w:r w:rsidR="00500B41">
        <w:rPr>
          <w:rFonts w:ascii="Arial" w:hAnsi="Arial" w:cs="Arial"/>
        </w:rPr>
        <w:t>, for example,</w:t>
      </w:r>
      <w:r>
        <w:rPr>
          <w:rFonts w:ascii="Arial" w:hAnsi="Arial" w:cs="Arial"/>
        </w:rPr>
        <w:t xml:space="preserve"> that by 20</w:t>
      </w:r>
      <w:r w:rsidR="000D49F8">
        <w:rPr>
          <w:rFonts w:ascii="Arial" w:hAnsi="Arial" w:cs="Arial"/>
        </w:rPr>
        <w:t>45</w:t>
      </w:r>
      <w:r>
        <w:rPr>
          <w:rFonts w:ascii="Arial" w:hAnsi="Arial" w:cs="Arial"/>
        </w:rPr>
        <w:t xml:space="preserve"> only </w:t>
      </w:r>
      <w:r w:rsidR="00500B41">
        <w:rPr>
          <w:rFonts w:ascii="Arial" w:hAnsi="Arial" w:cs="Arial"/>
        </w:rPr>
        <w:t>three</w:t>
      </w:r>
      <w:r>
        <w:rPr>
          <w:rFonts w:ascii="Arial" w:hAnsi="Arial" w:cs="Arial"/>
        </w:rPr>
        <w:t xml:space="preserve"> </w:t>
      </w:r>
      <w:r w:rsidR="000D49F8">
        <w:rPr>
          <w:rFonts w:ascii="Arial" w:hAnsi="Arial" w:cs="Arial"/>
        </w:rPr>
        <w:t>small/</w:t>
      </w:r>
      <w:r w:rsidR="00500B41">
        <w:rPr>
          <w:rFonts w:ascii="Arial" w:hAnsi="Arial" w:cs="Arial"/>
        </w:rPr>
        <w:t xml:space="preserve">medium sized </w:t>
      </w:r>
      <w:r>
        <w:rPr>
          <w:rFonts w:ascii="Arial" w:hAnsi="Arial" w:cs="Arial"/>
        </w:rPr>
        <w:t>CHP incinerators</w:t>
      </w:r>
      <w:r w:rsidR="00500B41">
        <w:rPr>
          <w:rFonts w:ascii="Arial" w:hAnsi="Arial" w:cs="Arial"/>
        </w:rPr>
        <w:t xml:space="preserve"> based on plants already operational in 2022</w:t>
      </w:r>
      <w:r>
        <w:rPr>
          <w:rFonts w:ascii="Arial" w:hAnsi="Arial" w:cs="Arial"/>
        </w:rPr>
        <w:t>, situated at strategic locations</w:t>
      </w:r>
      <w:r w:rsidR="00500B41">
        <w:rPr>
          <w:rFonts w:ascii="Arial" w:hAnsi="Arial" w:cs="Arial"/>
        </w:rPr>
        <w:t xml:space="preserve"> across Scotland</w:t>
      </w:r>
      <w:r>
        <w:rPr>
          <w:rFonts w:ascii="Arial" w:hAnsi="Arial" w:cs="Arial"/>
        </w:rPr>
        <w:t xml:space="preserve"> are required. The criteria for closure then </w:t>
      </w:r>
      <w:proofErr w:type="gramStart"/>
      <w:r>
        <w:rPr>
          <w:rFonts w:ascii="Arial" w:hAnsi="Arial" w:cs="Arial"/>
        </w:rPr>
        <w:t>becomes</w:t>
      </w:r>
      <w:proofErr w:type="gramEnd"/>
      <w:r>
        <w:rPr>
          <w:rFonts w:ascii="Arial" w:hAnsi="Arial" w:cs="Arial"/>
        </w:rPr>
        <w:t xml:space="preserve"> whether a plant has CHP potential, its location, size and age</w:t>
      </w:r>
      <w:r w:rsidR="00ED7647">
        <w:rPr>
          <w:rFonts w:ascii="Arial" w:hAnsi="Arial" w:cs="Arial"/>
        </w:rPr>
        <w:t>/operational status</w:t>
      </w:r>
      <w:r>
        <w:rPr>
          <w:rFonts w:ascii="Arial" w:hAnsi="Arial" w:cs="Arial"/>
        </w:rPr>
        <w:t>.</w:t>
      </w:r>
    </w:p>
    <w:p w14:paraId="4497CC07" w14:textId="77777777" w:rsidR="00727839" w:rsidRDefault="00727839" w:rsidP="00727839">
      <w:pPr>
        <w:rPr>
          <w:rFonts w:ascii="Arial" w:hAnsi="Arial" w:cs="Arial"/>
        </w:rPr>
      </w:pPr>
    </w:p>
    <w:p w14:paraId="0E7B11F8" w14:textId="77777777" w:rsidR="00ED7647" w:rsidRDefault="00ED7647" w:rsidP="00727839">
      <w:pPr>
        <w:rPr>
          <w:rFonts w:ascii="Arial" w:hAnsi="Arial" w:cs="Arial"/>
        </w:rPr>
      </w:pPr>
      <w:r>
        <w:rPr>
          <w:rFonts w:ascii="Arial" w:hAnsi="Arial" w:cs="Arial"/>
        </w:rPr>
        <w:t>It may be possible to obtain data that supports this approach from plant operators. If operators are unwilling to share this data with government, more generalised data and scientific modelling must be used instead.</w:t>
      </w:r>
    </w:p>
    <w:p w14:paraId="226D2060" w14:textId="77777777" w:rsidR="00500B41" w:rsidRDefault="00500B41" w:rsidP="00727839">
      <w:pPr>
        <w:rPr>
          <w:rFonts w:ascii="Arial" w:hAnsi="Arial" w:cs="Arial"/>
          <w:i/>
        </w:rPr>
      </w:pPr>
    </w:p>
    <w:p w14:paraId="4F7FCF14" w14:textId="5E634143" w:rsidR="00500B41" w:rsidRPr="000D49F8" w:rsidRDefault="00500B41" w:rsidP="00727839">
      <w:pPr>
        <w:rPr>
          <w:rFonts w:ascii="Arial" w:hAnsi="Arial" w:cs="Arial"/>
        </w:rPr>
      </w:pPr>
      <w:r>
        <w:rPr>
          <w:rFonts w:ascii="Arial" w:hAnsi="Arial" w:cs="Arial"/>
          <w:i/>
        </w:rPr>
        <w:t xml:space="preserve">Friends of the Earth Scotland strongly recommends that the Scottish Government </w:t>
      </w:r>
      <w:r w:rsidR="00A174B3" w:rsidRPr="00A174B3">
        <w:rPr>
          <w:rFonts w:ascii="Arial" w:hAnsi="Arial" w:cs="Arial"/>
          <w:i/>
        </w:rPr>
        <w:t>must reduce Scotland’s incinerator capacity in line with our 2045 climate targets. As with all sectors, all possible efforts to reduce the direct emissions from incineration must be made</w:t>
      </w:r>
      <w:r w:rsidR="000D49F8">
        <w:rPr>
          <w:rFonts w:ascii="Arial" w:hAnsi="Arial" w:cs="Arial"/>
          <w:i/>
        </w:rPr>
        <w:t>.</w:t>
      </w:r>
    </w:p>
    <w:p w14:paraId="753801B0" w14:textId="77777777" w:rsidR="00EA1711" w:rsidRDefault="00EA1711" w:rsidP="00EA1711">
      <w:pPr>
        <w:rPr>
          <w:rFonts w:ascii="Arial" w:hAnsi="Arial" w:cs="Arial"/>
        </w:rPr>
      </w:pPr>
    </w:p>
    <w:p w14:paraId="00A5AB76" w14:textId="20CBA12D" w:rsidR="00500B41" w:rsidRDefault="00500B41" w:rsidP="00500B41">
      <w:pPr>
        <w:rPr>
          <w:rFonts w:ascii="Arial" w:hAnsi="Arial" w:cs="Arial"/>
          <w:i/>
        </w:rPr>
      </w:pPr>
      <w:r w:rsidRPr="00ED7647">
        <w:rPr>
          <w:rFonts w:ascii="Arial" w:hAnsi="Arial" w:cs="Arial"/>
          <w:i/>
        </w:rPr>
        <w:t>Friends of the Earth Scotland recommend that the Scottish Government design</w:t>
      </w:r>
      <w:r w:rsidR="000D49F8">
        <w:rPr>
          <w:rFonts w:ascii="Arial" w:hAnsi="Arial" w:cs="Arial"/>
          <w:i/>
        </w:rPr>
        <w:t>s</w:t>
      </w:r>
      <w:r w:rsidRPr="00ED7647">
        <w:rPr>
          <w:rFonts w:ascii="Arial" w:hAnsi="Arial" w:cs="Arial"/>
          <w:i/>
        </w:rPr>
        <w:t xml:space="preserve"> a set of criteria to prioritise closure of incinerators based on minimising overall carbon emissions.</w:t>
      </w:r>
    </w:p>
    <w:p w14:paraId="6EAF7E58" w14:textId="77777777" w:rsidR="00500B41" w:rsidRDefault="00500B41" w:rsidP="00EA1711">
      <w:pPr>
        <w:rPr>
          <w:rFonts w:ascii="Arial" w:hAnsi="Arial" w:cs="Arial"/>
        </w:rPr>
      </w:pPr>
    </w:p>
    <w:p w14:paraId="5D8EE3D0" w14:textId="77777777" w:rsidR="00500B41" w:rsidRPr="00500B41" w:rsidRDefault="00500B41" w:rsidP="00EA1711">
      <w:pPr>
        <w:rPr>
          <w:rFonts w:ascii="Arial" w:hAnsi="Arial" w:cs="Arial"/>
          <w:i/>
        </w:rPr>
      </w:pPr>
      <w:r w:rsidRPr="00500B41">
        <w:rPr>
          <w:rFonts w:ascii="Arial" w:hAnsi="Arial" w:cs="Arial"/>
          <w:i/>
        </w:rPr>
        <w:t xml:space="preserve">Friends of the Earth Scotland recommends that these criteria are then used to list the order in which </w:t>
      </w:r>
      <w:r>
        <w:rPr>
          <w:rFonts w:ascii="Arial" w:hAnsi="Arial" w:cs="Arial"/>
          <w:i/>
        </w:rPr>
        <w:t xml:space="preserve">existing and planned </w:t>
      </w:r>
      <w:r w:rsidRPr="00500B41">
        <w:rPr>
          <w:rFonts w:ascii="Arial" w:hAnsi="Arial" w:cs="Arial"/>
          <w:i/>
        </w:rPr>
        <w:t>incinerators should close in Scotland.</w:t>
      </w:r>
    </w:p>
    <w:p w14:paraId="4DC692E1" w14:textId="77777777" w:rsidR="00B73C7C" w:rsidRDefault="00B73C7C" w:rsidP="00A02BE4">
      <w:pPr>
        <w:pStyle w:val="Heading1"/>
        <w:rPr>
          <w:rFonts w:cs="Arial"/>
        </w:rPr>
      </w:pPr>
    </w:p>
    <w:p w14:paraId="55FDA64B" w14:textId="77777777" w:rsidR="00B73C7C" w:rsidRDefault="00B73C7C" w:rsidP="00A02BE4">
      <w:pPr>
        <w:pStyle w:val="Heading1"/>
        <w:rPr>
          <w:rFonts w:cs="Arial"/>
        </w:rPr>
      </w:pPr>
    </w:p>
    <w:p w14:paraId="7EE15BF1" w14:textId="4907808F" w:rsidR="00A02BE4" w:rsidRPr="00424CC2" w:rsidRDefault="00040C8F" w:rsidP="00A02BE4">
      <w:pPr>
        <w:pStyle w:val="Heading1"/>
        <w:rPr>
          <w:rFonts w:cs="Arial"/>
        </w:rPr>
      </w:pPr>
      <w:bookmarkStart w:id="15" w:name="_Toc115343407"/>
      <w:r>
        <w:rPr>
          <w:rFonts w:cs="Arial"/>
        </w:rPr>
        <w:t>4</w:t>
      </w:r>
      <w:r w:rsidR="00A02BE4" w:rsidRPr="00424CC2">
        <w:rPr>
          <w:rFonts w:cs="Arial"/>
        </w:rPr>
        <w:t>. Removing plastics from the waste stream</w:t>
      </w:r>
      <w:bookmarkEnd w:id="15"/>
    </w:p>
    <w:p w14:paraId="26911E72" w14:textId="77777777" w:rsidR="00BF1125" w:rsidRPr="0028112C" w:rsidRDefault="00ED7647" w:rsidP="0028112C">
      <w:pPr>
        <w:pStyle w:val="NormalWeb"/>
        <w:rPr>
          <w:rFonts w:eastAsia="Times New Roman"/>
        </w:rPr>
      </w:pPr>
      <w:r>
        <w:rPr>
          <w:rFonts w:ascii="Arial" w:hAnsi="Arial" w:cs="Arial"/>
        </w:rPr>
        <w:t>Friends of the Earth Scotland’s original response to the Incineration Review explains the case for banning the burning of plastic</w:t>
      </w:r>
      <w:r>
        <w:rPr>
          <w:rStyle w:val="FootnoteReference"/>
          <w:rFonts w:ascii="Arial" w:hAnsi="Arial" w:cs="Arial"/>
        </w:rPr>
        <w:footnoteReference w:id="20"/>
      </w:r>
      <w:r>
        <w:rPr>
          <w:rFonts w:ascii="Arial" w:hAnsi="Arial" w:cs="Arial"/>
        </w:rPr>
        <w:t xml:space="preserve">. </w:t>
      </w:r>
      <w:r w:rsidR="0028112C">
        <w:rPr>
          <w:rFonts w:ascii="Arial" w:hAnsi="Arial" w:cs="Arial"/>
        </w:rPr>
        <w:t>As stated in the conclusions of the Incineration Review</w:t>
      </w:r>
      <w:r w:rsidR="00E93C29">
        <w:rPr>
          <w:rFonts w:ascii="Arial" w:hAnsi="Arial" w:cs="Arial"/>
        </w:rPr>
        <w:t>:</w:t>
      </w:r>
      <w:r w:rsidR="0028112C">
        <w:rPr>
          <w:rFonts w:ascii="Arial" w:hAnsi="Arial" w:cs="Arial"/>
        </w:rPr>
        <w:t xml:space="preserve"> “</w:t>
      </w:r>
      <w:r w:rsidR="00E93C29">
        <w:rPr>
          <w:rFonts w:ascii="ArialMT" w:eastAsia="Times New Roman" w:hAnsi="ArialMT"/>
        </w:rPr>
        <w:t>s</w:t>
      </w:r>
      <w:r w:rsidR="0028112C" w:rsidRPr="0028112C">
        <w:rPr>
          <w:rFonts w:ascii="ArialMT" w:eastAsia="Times New Roman" w:hAnsi="ArialMT"/>
        </w:rPr>
        <w:t>topping plastic from being incinerated is the quickest and most reliable route to reduce the carbon impact of incineration</w:t>
      </w:r>
      <w:r w:rsidR="0028112C">
        <w:rPr>
          <w:rFonts w:ascii="ArialMT" w:eastAsia="Times New Roman" w:hAnsi="ArialMT"/>
        </w:rPr>
        <w:t xml:space="preserve">”. </w:t>
      </w:r>
      <w:r w:rsidR="00BF1125">
        <w:rPr>
          <w:rFonts w:ascii="Arial" w:hAnsi="Arial" w:cs="Arial"/>
        </w:rPr>
        <w:t xml:space="preserve">A ban on burning plastic would better align </w:t>
      </w:r>
      <w:r w:rsidR="00BF1125" w:rsidRPr="00B2065C">
        <w:rPr>
          <w:rFonts w:ascii="Arial" w:hAnsi="Arial" w:cs="Arial"/>
        </w:rPr>
        <w:t xml:space="preserve">Scottish incineration policies </w:t>
      </w:r>
      <w:r w:rsidR="00BF1125">
        <w:rPr>
          <w:rFonts w:ascii="Arial" w:hAnsi="Arial" w:cs="Arial"/>
        </w:rPr>
        <w:t xml:space="preserve">with </w:t>
      </w:r>
      <w:r w:rsidR="00B73C7C">
        <w:rPr>
          <w:rFonts w:ascii="Arial" w:hAnsi="Arial" w:cs="Arial"/>
        </w:rPr>
        <w:t xml:space="preserve">emerging </w:t>
      </w:r>
      <w:r w:rsidR="00BF1125" w:rsidRPr="00B2065C">
        <w:rPr>
          <w:rFonts w:ascii="Arial" w:hAnsi="Arial" w:cs="Arial"/>
        </w:rPr>
        <w:t>Scottish, UK</w:t>
      </w:r>
      <w:r w:rsidR="00BF1125">
        <w:rPr>
          <w:rFonts w:ascii="Arial" w:hAnsi="Arial" w:cs="Arial"/>
        </w:rPr>
        <w:t>, EU</w:t>
      </w:r>
      <w:r w:rsidR="00BF1125" w:rsidRPr="00B2065C">
        <w:rPr>
          <w:rFonts w:ascii="Arial" w:hAnsi="Arial" w:cs="Arial"/>
        </w:rPr>
        <w:t xml:space="preserve"> and global policies to reduce plastic pollution.</w:t>
      </w:r>
      <w:r w:rsidR="00BF1125">
        <w:rPr>
          <w:rFonts w:ascii="Arial" w:hAnsi="Arial" w:cs="Arial"/>
        </w:rPr>
        <w:t xml:space="preserve"> </w:t>
      </w:r>
    </w:p>
    <w:p w14:paraId="2849B27D" w14:textId="77777777" w:rsidR="00BF1125" w:rsidRDefault="00BF1125" w:rsidP="0091094A">
      <w:pPr>
        <w:rPr>
          <w:rFonts w:ascii="Arial" w:hAnsi="Arial" w:cs="Arial"/>
        </w:rPr>
      </w:pPr>
    </w:p>
    <w:p w14:paraId="2E512C4B" w14:textId="29C33EA0" w:rsidR="00ED7647" w:rsidRDefault="00B73C7C" w:rsidP="0091094A">
      <w:pPr>
        <w:rPr>
          <w:rFonts w:ascii="Arial" w:hAnsi="Arial" w:cs="Arial"/>
        </w:rPr>
      </w:pPr>
      <w:r>
        <w:rPr>
          <w:rFonts w:ascii="Arial" w:hAnsi="Arial" w:cs="Arial"/>
        </w:rPr>
        <w:t xml:space="preserve">A bottle </w:t>
      </w:r>
      <w:r w:rsidR="004C3212">
        <w:rPr>
          <w:rFonts w:ascii="Arial" w:hAnsi="Arial" w:cs="Arial"/>
        </w:rPr>
        <w:t>D</w:t>
      </w:r>
      <w:r>
        <w:rPr>
          <w:rFonts w:ascii="Arial" w:hAnsi="Arial" w:cs="Arial"/>
        </w:rPr>
        <w:t xml:space="preserve">eposit </w:t>
      </w:r>
      <w:r w:rsidR="004C3212">
        <w:rPr>
          <w:rFonts w:ascii="Arial" w:hAnsi="Arial" w:cs="Arial"/>
        </w:rPr>
        <w:t>R</w:t>
      </w:r>
      <w:r>
        <w:rPr>
          <w:rFonts w:ascii="Arial" w:hAnsi="Arial" w:cs="Arial"/>
        </w:rPr>
        <w:t xml:space="preserve">eturn </w:t>
      </w:r>
      <w:r w:rsidR="004C3212">
        <w:rPr>
          <w:rFonts w:ascii="Arial" w:hAnsi="Arial" w:cs="Arial"/>
        </w:rPr>
        <w:t>S</w:t>
      </w:r>
      <w:r>
        <w:rPr>
          <w:rFonts w:ascii="Arial" w:hAnsi="Arial" w:cs="Arial"/>
        </w:rPr>
        <w:t>cheme</w:t>
      </w:r>
      <w:r w:rsidR="004C3212">
        <w:rPr>
          <w:rFonts w:ascii="Arial" w:hAnsi="Arial" w:cs="Arial"/>
        </w:rPr>
        <w:t xml:space="preserve"> and E</w:t>
      </w:r>
      <w:r>
        <w:rPr>
          <w:rFonts w:ascii="Arial" w:hAnsi="Arial" w:cs="Arial"/>
        </w:rPr>
        <w:t xml:space="preserve">xtended </w:t>
      </w:r>
      <w:r w:rsidR="004C3212">
        <w:rPr>
          <w:rFonts w:ascii="Arial" w:hAnsi="Arial" w:cs="Arial"/>
        </w:rPr>
        <w:t>P</w:t>
      </w:r>
      <w:r>
        <w:rPr>
          <w:rFonts w:ascii="Arial" w:hAnsi="Arial" w:cs="Arial"/>
        </w:rPr>
        <w:t>roducer Responsibility scheme for packaging</w:t>
      </w:r>
      <w:r w:rsidR="00B2065C">
        <w:rPr>
          <w:rFonts w:ascii="Arial" w:hAnsi="Arial" w:cs="Arial"/>
        </w:rPr>
        <w:t xml:space="preserve">, which will soon </w:t>
      </w:r>
      <w:r>
        <w:rPr>
          <w:rFonts w:ascii="Arial" w:hAnsi="Arial" w:cs="Arial"/>
        </w:rPr>
        <w:t xml:space="preserve">follow the Single Use Plastic ban in </w:t>
      </w:r>
      <w:r w:rsidR="00B2065C">
        <w:rPr>
          <w:rFonts w:ascii="Arial" w:hAnsi="Arial" w:cs="Arial"/>
        </w:rPr>
        <w:t>becom</w:t>
      </w:r>
      <w:r>
        <w:rPr>
          <w:rFonts w:ascii="Arial" w:hAnsi="Arial" w:cs="Arial"/>
        </w:rPr>
        <w:t>ing</w:t>
      </w:r>
      <w:r w:rsidR="00B2065C">
        <w:rPr>
          <w:rFonts w:ascii="Arial" w:hAnsi="Arial" w:cs="Arial"/>
        </w:rPr>
        <w:t xml:space="preserve"> operational policies in Scotland, </w:t>
      </w:r>
      <w:r w:rsidR="004C3212">
        <w:rPr>
          <w:rFonts w:ascii="Arial" w:hAnsi="Arial" w:cs="Arial"/>
        </w:rPr>
        <w:t xml:space="preserve">will remove much of the (recyclable) plastic from the residual waste stream. </w:t>
      </w:r>
      <w:r w:rsidR="00D02C9E">
        <w:rPr>
          <w:rFonts w:ascii="Arial" w:hAnsi="Arial" w:cs="Arial"/>
        </w:rPr>
        <w:t>Client Earth have recently published a report detailing the liability risks of burning plastics</w:t>
      </w:r>
      <w:r w:rsidR="00D02C9E">
        <w:rPr>
          <w:rStyle w:val="FootnoteReference"/>
          <w:rFonts w:ascii="Arial" w:hAnsi="Arial" w:cs="Arial"/>
        </w:rPr>
        <w:footnoteReference w:id="21"/>
      </w:r>
      <w:r w:rsidR="00D02C9E">
        <w:rPr>
          <w:rFonts w:ascii="Arial" w:hAnsi="Arial" w:cs="Arial"/>
        </w:rPr>
        <w:t xml:space="preserve">. The report examines </w:t>
      </w:r>
      <w:r w:rsidR="00D02C9E" w:rsidRPr="00D02C9E">
        <w:rPr>
          <w:rFonts w:ascii="Arial" w:hAnsi="Arial" w:cs="Arial"/>
        </w:rPr>
        <w:t>how existing legal challenges against waste management companies building and operating incineration facilities could escalate in light of growing incinerator build-out and increased climate pressure</w:t>
      </w:r>
      <w:r w:rsidR="00D02C9E">
        <w:rPr>
          <w:rFonts w:ascii="Arial" w:hAnsi="Arial" w:cs="Arial"/>
        </w:rPr>
        <w:t>.</w:t>
      </w:r>
    </w:p>
    <w:p w14:paraId="7B1D0CA3" w14:textId="77777777" w:rsidR="00B2065C" w:rsidRDefault="00B2065C" w:rsidP="00B2065C">
      <w:pPr>
        <w:rPr>
          <w:rFonts w:ascii="Arial" w:hAnsi="Arial" w:cs="Arial"/>
        </w:rPr>
      </w:pPr>
    </w:p>
    <w:p w14:paraId="247ACFCA" w14:textId="77777777" w:rsidR="00B2065C" w:rsidRDefault="00BF1125" w:rsidP="00B2065C">
      <w:pPr>
        <w:rPr>
          <w:rFonts w:ascii="Arial" w:hAnsi="Arial" w:cs="Arial"/>
        </w:rPr>
      </w:pPr>
      <w:r>
        <w:rPr>
          <w:rFonts w:ascii="Arial" w:hAnsi="Arial" w:cs="Arial"/>
        </w:rPr>
        <w:t>After a report from Reloop concluded that sorting capability for plastic waste has markedly improved in recent years</w:t>
      </w:r>
      <w:r>
        <w:rPr>
          <w:rStyle w:val="FootnoteReference"/>
          <w:rFonts w:ascii="Arial" w:hAnsi="Arial" w:cs="Arial"/>
        </w:rPr>
        <w:footnoteReference w:id="22"/>
      </w:r>
      <w:r>
        <w:rPr>
          <w:rFonts w:ascii="Arial" w:hAnsi="Arial" w:cs="Arial"/>
        </w:rPr>
        <w:t>, i</w:t>
      </w:r>
      <w:r w:rsidR="00B2065C">
        <w:rPr>
          <w:rFonts w:ascii="Arial" w:hAnsi="Arial" w:cs="Arial"/>
        </w:rPr>
        <w:t xml:space="preserve">n September 2022, the European Parliament </w:t>
      </w:r>
      <w:r w:rsidR="00B2065C">
        <w:rPr>
          <w:rFonts w:ascii="Arial" w:hAnsi="Arial" w:cs="Arial"/>
        </w:rPr>
        <w:lastRenderedPageBreak/>
        <w:t>voted to require operators to remove fossil material from mixed waste used for “renewable energy” production</w:t>
      </w:r>
      <w:r w:rsidR="00B2065C">
        <w:rPr>
          <w:rStyle w:val="FootnoteReference"/>
          <w:rFonts w:ascii="Arial" w:hAnsi="Arial" w:cs="Arial"/>
        </w:rPr>
        <w:footnoteReference w:id="23"/>
      </w:r>
      <w:r w:rsidR="00B2065C">
        <w:rPr>
          <w:rFonts w:ascii="Arial" w:hAnsi="Arial" w:cs="Arial"/>
        </w:rPr>
        <w:t xml:space="preserve">. </w:t>
      </w:r>
      <w:r>
        <w:rPr>
          <w:rFonts w:ascii="Arial" w:hAnsi="Arial" w:cs="Arial"/>
        </w:rPr>
        <w:t xml:space="preserve">The Scottish Government stated </w:t>
      </w:r>
      <w:r w:rsidR="00B73C7C">
        <w:rPr>
          <w:rFonts w:ascii="Arial" w:hAnsi="Arial" w:cs="Arial"/>
        </w:rPr>
        <w:t xml:space="preserve">one of its five key principles of a circular economy strategy for Scotland would be to </w:t>
      </w:r>
      <w:r>
        <w:rPr>
          <w:rFonts w:ascii="Arial" w:hAnsi="Arial" w:cs="Arial"/>
        </w:rPr>
        <w:t>“keep pace with the EU, in order to ensure market alignment and uphold our commitment to maintain or exceed environmental standards after the EU exit”</w:t>
      </w:r>
      <w:r>
        <w:rPr>
          <w:rStyle w:val="FootnoteReference"/>
          <w:rFonts w:ascii="Arial" w:hAnsi="Arial" w:cs="Arial"/>
        </w:rPr>
        <w:footnoteReference w:id="24"/>
      </w:r>
      <w:r>
        <w:rPr>
          <w:rFonts w:ascii="Arial" w:hAnsi="Arial" w:cs="Arial"/>
        </w:rPr>
        <w:t xml:space="preserve">. A ban on burning plastic would </w:t>
      </w:r>
      <w:r w:rsidR="00B73C7C">
        <w:rPr>
          <w:rFonts w:ascii="Arial" w:hAnsi="Arial" w:cs="Arial"/>
        </w:rPr>
        <w:t>meet this aim</w:t>
      </w:r>
      <w:r>
        <w:rPr>
          <w:rFonts w:ascii="Arial" w:hAnsi="Arial" w:cs="Arial"/>
        </w:rPr>
        <w:t>.</w:t>
      </w:r>
    </w:p>
    <w:p w14:paraId="1682348E" w14:textId="77777777" w:rsidR="00B2065C" w:rsidRDefault="00B2065C" w:rsidP="0091094A">
      <w:pPr>
        <w:rPr>
          <w:rFonts w:ascii="Arial" w:hAnsi="Arial" w:cs="Arial"/>
          <w:b/>
        </w:rPr>
      </w:pPr>
    </w:p>
    <w:p w14:paraId="1C26D998" w14:textId="77777777" w:rsidR="00B2065C" w:rsidRDefault="00B2065C" w:rsidP="0091094A">
      <w:pPr>
        <w:rPr>
          <w:rFonts w:ascii="Arial" w:hAnsi="Arial" w:cs="Arial"/>
        </w:rPr>
      </w:pPr>
      <w:r>
        <w:rPr>
          <w:rFonts w:ascii="Arial" w:hAnsi="Arial" w:cs="Arial"/>
        </w:rPr>
        <w:t>In March 2022, UN member states endorsed a historic resolution at the UN Environment Assembly to forge an internationally binding agreement to end plastic pollution by the end of 2024</w:t>
      </w:r>
      <w:r>
        <w:rPr>
          <w:rStyle w:val="FootnoteReference"/>
          <w:rFonts w:ascii="Arial" w:hAnsi="Arial" w:cs="Arial"/>
        </w:rPr>
        <w:footnoteReference w:id="25"/>
      </w:r>
      <w:r>
        <w:rPr>
          <w:rFonts w:ascii="Arial" w:hAnsi="Arial" w:cs="Arial"/>
        </w:rPr>
        <w:t>. The resolution addresses the full life cycle of plastic, including its production, design and disposal. The resolution to End Plastic Pollution will have knock on consequences for plastic disposal in Scotland</w:t>
      </w:r>
      <w:r w:rsidRPr="00B2065C">
        <w:rPr>
          <w:rFonts w:ascii="Arial" w:hAnsi="Arial" w:cs="Arial"/>
        </w:rPr>
        <w:t>.</w:t>
      </w:r>
    </w:p>
    <w:p w14:paraId="197663EE" w14:textId="77777777" w:rsidR="00A02BE4" w:rsidRPr="00424CC2" w:rsidRDefault="00A02BE4" w:rsidP="0091094A">
      <w:pPr>
        <w:rPr>
          <w:rFonts w:ascii="Arial" w:hAnsi="Arial" w:cs="Arial"/>
        </w:rPr>
      </w:pPr>
    </w:p>
    <w:p w14:paraId="6DE44E6A" w14:textId="77777777" w:rsidR="00B2065C" w:rsidRPr="00500B41" w:rsidRDefault="00906D83" w:rsidP="0091094A">
      <w:pPr>
        <w:rPr>
          <w:rFonts w:ascii="Arial" w:hAnsi="Arial" w:cs="Arial"/>
          <w:i/>
        </w:rPr>
      </w:pPr>
      <w:r w:rsidRPr="00500B41">
        <w:rPr>
          <w:rFonts w:ascii="Arial" w:hAnsi="Arial" w:cs="Arial"/>
          <w:i/>
        </w:rPr>
        <w:t>Friends of the Earth Scotland recommends that</w:t>
      </w:r>
      <w:r w:rsidR="00BF1125">
        <w:rPr>
          <w:rFonts w:ascii="Arial" w:hAnsi="Arial" w:cs="Arial"/>
          <w:i/>
        </w:rPr>
        <w:t xml:space="preserve">, in alignment with national and international policies to </w:t>
      </w:r>
      <w:r w:rsidR="00404EC3">
        <w:rPr>
          <w:rFonts w:ascii="Arial" w:hAnsi="Arial" w:cs="Arial"/>
          <w:i/>
        </w:rPr>
        <w:t>end plastic pollution,</w:t>
      </w:r>
      <w:r w:rsidRPr="00500B41">
        <w:rPr>
          <w:rFonts w:ascii="Arial" w:hAnsi="Arial" w:cs="Arial"/>
          <w:i/>
        </w:rPr>
        <w:t xml:space="preserve"> </w:t>
      </w:r>
      <w:r w:rsidR="00404EC3">
        <w:rPr>
          <w:rFonts w:ascii="Arial" w:hAnsi="Arial" w:cs="Arial"/>
          <w:i/>
        </w:rPr>
        <w:t>the Scottish Government should ban the burning of plastic waste</w:t>
      </w:r>
      <w:r w:rsidRPr="00500B41">
        <w:rPr>
          <w:rFonts w:ascii="Arial" w:hAnsi="Arial" w:cs="Arial"/>
          <w:i/>
        </w:rPr>
        <w:t>.</w:t>
      </w:r>
    </w:p>
    <w:p w14:paraId="6AA1381C" w14:textId="77777777" w:rsidR="00906D83" w:rsidRDefault="00906D83" w:rsidP="0091094A">
      <w:pPr>
        <w:rPr>
          <w:rFonts w:ascii="Arial" w:hAnsi="Arial" w:cs="Arial"/>
        </w:rPr>
      </w:pPr>
    </w:p>
    <w:p w14:paraId="45F270E6" w14:textId="77777777" w:rsidR="00B73C7C" w:rsidRPr="00424CC2" w:rsidRDefault="00B73C7C" w:rsidP="0091094A">
      <w:pPr>
        <w:rPr>
          <w:rFonts w:ascii="Arial" w:hAnsi="Arial" w:cs="Arial"/>
        </w:rPr>
      </w:pPr>
    </w:p>
    <w:p w14:paraId="00E20286" w14:textId="6EC2D416" w:rsidR="00A02BE4" w:rsidRPr="00424CC2" w:rsidRDefault="00040C8F" w:rsidP="00A02BE4">
      <w:pPr>
        <w:pStyle w:val="Heading1"/>
        <w:rPr>
          <w:rFonts w:cs="Arial"/>
        </w:rPr>
      </w:pPr>
      <w:bookmarkStart w:id="16" w:name="_Toc115343408"/>
      <w:r>
        <w:rPr>
          <w:rFonts w:cs="Arial"/>
        </w:rPr>
        <w:t>5</w:t>
      </w:r>
      <w:r w:rsidR="00A02BE4" w:rsidRPr="00424CC2">
        <w:rPr>
          <w:rFonts w:cs="Arial"/>
        </w:rPr>
        <w:t>. Biostabilisation</w:t>
      </w:r>
      <w:bookmarkEnd w:id="16"/>
    </w:p>
    <w:p w14:paraId="79876F6C" w14:textId="77777777" w:rsidR="00AD77D1" w:rsidRDefault="00404EC3" w:rsidP="0091094A">
      <w:pPr>
        <w:rPr>
          <w:rFonts w:ascii="Arial" w:hAnsi="Arial" w:cs="Arial"/>
          <w:i/>
        </w:rPr>
      </w:pPr>
      <w:r w:rsidRPr="00B73C7C">
        <w:rPr>
          <w:rFonts w:ascii="Arial" w:hAnsi="Arial" w:cs="Arial"/>
          <w:i/>
        </w:rPr>
        <w:t>Friends of the Earth Scotland recommends that the carbon intensity of biostabilisation be measured in a</w:t>
      </w:r>
      <w:r w:rsidR="00AD77D1">
        <w:rPr>
          <w:rFonts w:ascii="Arial" w:hAnsi="Arial" w:cs="Arial"/>
          <w:i/>
        </w:rPr>
        <w:t xml:space="preserve"> way which allows it to be compared </w:t>
      </w:r>
      <w:r w:rsidRPr="00B73C7C">
        <w:rPr>
          <w:rFonts w:ascii="Arial" w:hAnsi="Arial" w:cs="Arial"/>
          <w:i/>
        </w:rPr>
        <w:t xml:space="preserve">to alternative waste management technologies. </w:t>
      </w:r>
    </w:p>
    <w:p w14:paraId="5BCA6A89" w14:textId="77777777" w:rsidR="00AD77D1" w:rsidRDefault="00AD77D1" w:rsidP="0091094A">
      <w:pPr>
        <w:rPr>
          <w:rFonts w:ascii="Arial" w:hAnsi="Arial" w:cs="Arial"/>
        </w:rPr>
      </w:pPr>
    </w:p>
    <w:p w14:paraId="7F65E926" w14:textId="77777777" w:rsidR="00A02BE4" w:rsidRDefault="00404EC3" w:rsidP="0091094A">
      <w:pPr>
        <w:rPr>
          <w:rFonts w:ascii="Arial" w:hAnsi="Arial" w:cs="Arial"/>
          <w:i/>
        </w:rPr>
      </w:pPr>
      <w:r w:rsidRPr="00AD77D1">
        <w:rPr>
          <w:rFonts w:ascii="Arial" w:hAnsi="Arial" w:cs="Arial"/>
        </w:rPr>
        <w:t xml:space="preserve">This should include consideration of biogenic carbon stored in landfill, which is erroneously excluded from the Zero Waste Scotland </w:t>
      </w:r>
      <w:r w:rsidR="00B73C7C" w:rsidRPr="00AD77D1">
        <w:rPr>
          <w:rFonts w:ascii="Arial" w:hAnsi="Arial" w:cs="Arial"/>
        </w:rPr>
        <w:t xml:space="preserve">incineration </w:t>
      </w:r>
      <w:r w:rsidR="00DD598E" w:rsidRPr="00AD77D1">
        <w:rPr>
          <w:rFonts w:ascii="Arial" w:hAnsi="Arial" w:cs="Arial"/>
        </w:rPr>
        <w:t>report</w:t>
      </w:r>
      <w:r w:rsidRPr="00AD77D1">
        <w:rPr>
          <w:rFonts w:ascii="Arial" w:hAnsi="Arial" w:cs="Arial"/>
        </w:rPr>
        <w:t xml:space="preserve"> on the carbon impacts of incineration.</w:t>
      </w:r>
      <w:r w:rsidRPr="00B73C7C">
        <w:rPr>
          <w:rFonts w:ascii="Arial" w:hAnsi="Arial" w:cs="Arial"/>
          <w:i/>
        </w:rPr>
        <w:t xml:space="preserve"> </w:t>
      </w:r>
    </w:p>
    <w:p w14:paraId="03AE5FC7" w14:textId="77777777" w:rsidR="00B73C7C" w:rsidRPr="00B73C7C" w:rsidRDefault="00B73C7C" w:rsidP="0091094A">
      <w:pPr>
        <w:rPr>
          <w:rFonts w:ascii="Arial" w:hAnsi="Arial" w:cs="Arial"/>
          <w:i/>
        </w:rPr>
      </w:pPr>
    </w:p>
    <w:p w14:paraId="539D0A44" w14:textId="77777777" w:rsidR="00404EC3" w:rsidRPr="00424CC2" w:rsidRDefault="00404EC3" w:rsidP="0091094A">
      <w:pPr>
        <w:rPr>
          <w:rFonts w:ascii="Arial" w:hAnsi="Arial" w:cs="Arial"/>
        </w:rPr>
      </w:pPr>
      <w:r>
        <w:rPr>
          <w:rFonts w:ascii="Arial" w:hAnsi="Arial" w:cs="Arial"/>
        </w:rPr>
        <w:t xml:space="preserve"> </w:t>
      </w:r>
    </w:p>
    <w:p w14:paraId="4A9FBCA7" w14:textId="513DC885" w:rsidR="00A02BE4" w:rsidRPr="00424CC2" w:rsidRDefault="00040C8F" w:rsidP="00A02BE4">
      <w:pPr>
        <w:pStyle w:val="Heading1"/>
        <w:rPr>
          <w:rFonts w:cs="Arial"/>
        </w:rPr>
      </w:pPr>
      <w:bookmarkStart w:id="17" w:name="_Toc115343409"/>
      <w:r>
        <w:rPr>
          <w:rFonts w:cs="Arial"/>
        </w:rPr>
        <w:t>6</w:t>
      </w:r>
      <w:r w:rsidR="00A02BE4" w:rsidRPr="00424CC2">
        <w:rPr>
          <w:rFonts w:cs="Arial"/>
        </w:rPr>
        <w:t>. Combined Heat and Power networks</w:t>
      </w:r>
      <w:bookmarkEnd w:id="17"/>
    </w:p>
    <w:p w14:paraId="6D15265C" w14:textId="4F5DA4E0" w:rsidR="00A02BE4" w:rsidRDefault="00404EC3" w:rsidP="0091094A">
      <w:pPr>
        <w:rPr>
          <w:rFonts w:ascii="Arial" w:hAnsi="Arial" w:cs="Arial"/>
        </w:rPr>
      </w:pPr>
      <w:r>
        <w:rPr>
          <w:rFonts w:ascii="Arial" w:hAnsi="Arial" w:cs="Arial"/>
        </w:rPr>
        <w:t>It has been stated many times by the Chair of the Incineration Review, Dr Colin Church, that it is unlikely that all of Scotland’s incinerators will be suitable for combined heat and power (and CCS) developments</w:t>
      </w:r>
      <w:r>
        <w:rPr>
          <w:rStyle w:val="FootnoteReference"/>
          <w:rFonts w:ascii="Arial" w:hAnsi="Arial" w:cs="Arial"/>
        </w:rPr>
        <w:footnoteReference w:id="26"/>
      </w:r>
      <w:r>
        <w:rPr>
          <w:rFonts w:ascii="Arial" w:hAnsi="Arial" w:cs="Arial"/>
        </w:rPr>
        <w:t xml:space="preserve">. </w:t>
      </w:r>
      <w:r w:rsidR="00B73C7C">
        <w:rPr>
          <w:rFonts w:ascii="Arial" w:hAnsi="Arial" w:cs="Arial"/>
        </w:rPr>
        <w:t xml:space="preserve">Whilst CHP can reduce the carbon intensity of incinerators somewhat, the Zero Waste Scotland </w:t>
      </w:r>
      <w:r w:rsidR="00D02C9E">
        <w:rPr>
          <w:rFonts w:ascii="Arial" w:hAnsi="Arial" w:cs="Arial"/>
        </w:rPr>
        <w:t xml:space="preserve">climate impacts of </w:t>
      </w:r>
      <w:r w:rsidR="008B0603">
        <w:rPr>
          <w:rFonts w:ascii="Arial" w:hAnsi="Arial" w:cs="Arial"/>
        </w:rPr>
        <w:t xml:space="preserve">incineration </w:t>
      </w:r>
      <w:r w:rsidR="00AD77D1">
        <w:rPr>
          <w:rFonts w:ascii="Arial" w:hAnsi="Arial" w:cs="Arial"/>
        </w:rPr>
        <w:t>report</w:t>
      </w:r>
      <w:r w:rsidR="00C2010D">
        <w:rPr>
          <w:rStyle w:val="FootnoteReference"/>
          <w:rFonts w:ascii="Arial" w:hAnsi="Arial" w:cs="Arial"/>
        </w:rPr>
        <w:footnoteReference w:id="27"/>
      </w:r>
      <w:r w:rsidR="00B73C7C">
        <w:rPr>
          <w:rFonts w:ascii="Arial" w:hAnsi="Arial" w:cs="Arial"/>
        </w:rPr>
        <w:t xml:space="preserve"> demonstrates that CHP does not reduce the carbon intensity of plants below alternative scenarios such as gas boilers.</w:t>
      </w:r>
    </w:p>
    <w:p w14:paraId="5F6D9380" w14:textId="77777777" w:rsidR="00404EC3" w:rsidRDefault="00404EC3" w:rsidP="0091094A">
      <w:pPr>
        <w:rPr>
          <w:rFonts w:ascii="Arial" w:hAnsi="Arial" w:cs="Arial"/>
        </w:rPr>
      </w:pPr>
    </w:p>
    <w:p w14:paraId="09C08DEA" w14:textId="3817DBCA" w:rsidR="00404EC3" w:rsidRDefault="000D5EF1" w:rsidP="0091094A">
      <w:pPr>
        <w:rPr>
          <w:rFonts w:ascii="Arial" w:hAnsi="Arial" w:cs="Arial"/>
        </w:rPr>
      </w:pPr>
      <w:r>
        <w:rPr>
          <w:rFonts w:ascii="Arial" w:hAnsi="Arial" w:cs="Arial"/>
        </w:rPr>
        <w:t>As stated in FoES original Incineration Review response (</w:t>
      </w:r>
      <w:r w:rsidR="00AD77D1">
        <w:rPr>
          <w:rFonts w:ascii="Arial" w:hAnsi="Arial" w:cs="Arial"/>
        </w:rPr>
        <w:t>S</w:t>
      </w:r>
      <w:r>
        <w:rPr>
          <w:rFonts w:ascii="Arial" w:hAnsi="Arial" w:cs="Arial"/>
        </w:rPr>
        <w:t>ection 3.3), financing the retrofitting of CHP to incinerators exacerbates lock-in and is a poor use of public funding meant for climate mitigation projects. The Decarbonisation</w:t>
      </w:r>
      <w:r w:rsidR="008F4B18">
        <w:rPr>
          <w:rFonts w:ascii="Arial" w:hAnsi="Arial" w:cs="Arial"/>
        </w:rPr>
        <w:t xml:space="preserve"> Study </w:t>
      </w:r>
      <w:r>
        <w:rPr>
          <w:rFonts w:ascii="Arial" w:hAnsi="Arial" w:cs="Arial"/>
        </w:rPr>
        <w:t>should e</w:t>
      </w:r>
      <w:r w:rsidR="00D02C9E">
        <w:rPr>
          <w:rFonts w:ascii="Arial" w:hAnsi="Arial" w:cs="Arial"/>
        </w:rPr>
        <w:t xml:space="preserve">xplore if CHP will be a technically and economically viable strategy for plants once </w:t>
      </w:r>
      <w:r>
        <w:rPr>
          <w:rFonts w:ascii="Arial" w:hAnsi="Arial" w:cs="Arial"/>
        </w:rPr>
        <w:lastRenderedPageBreak/>
        <w:t xml:space="preserve">the timescales for retrofitting, the </w:t>
      </w:r>
      <w:r w:rsidR="00B73C7C">
        <w:rPr>
          <w:rFonts w:ascii="Arial" w:hAnsi="Arial" w:cs="Arial"/>
        </w:rPr>
        <w:t xml:space="preserve">marginal </w:t>
      </w:r>
      <w:r>
        <w:rPr>
          <w:rFonts w:ascii="Arial" w:hAnsi="Arial" w:cs="Arial"/>
        </w:rPr>
        <w:t>carbon saving expect</w:t>
      </w:r>
      <w:r w:rsidR="00D02C9E">
        <w:rPr>
          <w:rFonts w:ascii="Arial" w:hAnsi="Arial" w:cs="Arial"/>
        </w:rPr>
        <w:t>ed</w:t>
      </w:r>
      <w:r>
        <w:rPr>
          <w:rFonts w:ascii="Arial" w:hAnsi="Arial" w:cs="Arial"/>
        </w:rPr>
        <w:t>, and the phase out of most of Scotland’s incinerators as suggested by FoES</w:t>
      </w:r>
      <w:r w:rsidR="00D02C9E">
        <w:rPr>
          <w:rFonts w:ascii="Arial" w:hAnsi="Arial" w:cs="Arial"/>
        </w:rPr>
        <w:t xml:space="preserve"> are considered</w:t>
      </w:r>
      <w:r>
        <w:rPr>
          <w:rFonts w:ascii="Arial" w:hAnsi="Arial" w:cs="Arial"/>
        </w:rPr>
        <w:t>.</w:t>
      </w:r>
      <w:r w:rsidR="008F4B18">
        <w:rPr>
          <w:rFonts w:ascii="Arial" w:hAnsi="Arial" w:cs="Arial"/>
        </w:rPr>
        <w:t xml:space="preserve"> </w:t>
      </w:r>
    </w:p>
    <w:p w14:paraId="3B10F983" w14:textId="77777777" w:rsidR="00B73C7C" w:rsidRDefault="00B73C7C" w:rsidP="0091094A">
      <w:pPr>
        <w:rPr>
          <w:rFonts w:ascii="Arial" w:hAnsi="Arial" w:cs="Arial"/>
        </w:rPr>
      </w:pPr>
    </w:p>
    <w:p w14:paraId="1540F693" w14:textId="77777777" w:rsidR="008E3F72" w:rsidRDefault="00486762" w:rsidP="0091094A">
      <w:pPr>
        <w:rPr>
          <w:rFonts w:ascii="Arial" w:hAnsi="Arial" w:cs="Arial"/>
        </w:rPr>
      </w:pPr>
      <w:r>
        <w:rPr>
          <w:rFonts w:ascii="Arial" w:hAnsi="Arial" w:cs="Arial"/>
        </w:rPr>
        <w:t xml:space="preserve">Claims that heat offset from incinerators will alleviate the </w:t>
      </w:r>
      <w:r w:rsidR="00945058">
        <w:rPr>
          <w:rFonts w:ascii="Arial" w:hAnsi="Arial" w:cs="Arial"/>
        </w:rPr>
        <w:t>energy crisis are completely unrealistic. The NESS incinerator, due to begin burning waste this year, has recently begun retrofitting a heating scheme to the plant</w:t>
      </w:r>
      <w:r w:rsidR="00945058">
        <w:rPr>
          <w:rStyle w:val="FootnoteReference"/>
          <w:rFonts w:ascii="Arial" w:hAnsi="Arial" w:cs="Arial"/>
        </w:rPr>
        <w:footnoteReference w:id="28"/>
      </w:r>
      <w:r w:rsidR="00945058">
        <w:rPr>
          <w:rFonts w:ascii="Arial" w:hAnsi="Arial" w:cs="Arial"/>
        </w:rPr>
        <w:t xml:space="preserve">. This will cost £10m, with £5.787m paid for by the Scottish Government in the form of a grant from its Low Carbon Infrastructure Programme and the European Regional Development Fund. This initial phase of the scheme will heat 300 homes and four public buildings (although not before the end of 2023 at the earliest). This is an average cost of £32,895 per building. </w:t>
      </w:r>
    </w:p>
    <w:p w14:paraId="78403306" w14:textId="77777777" w:rsidR="008E3F72" w:rsidRDefault="008E3F72" w:rsidP="0091094A">
      <w:pPr>
        <w:rPr>
          <w:rFonts w:ascii="Arial" w:hAnsi="Arial" w:cs="Arial"/>
        </w:rPr>
      </w:pPr>
    </w:p>
    <w:p w14:paraId="51F27446" w14:textId="23C516D5" w:rsidR="00486762" w:rsidRDefault="00945058" w:rsidP="0091094A">
      <w:pPr>
        <w:rPr>
          <w:rFonts w:ascii="Arial" w:hAnsi="Arial" w:cs="Arial"/>
        </w:rPr>
      </w:pPr>
      <w:r>
        <w:rPr>
          <w:rFonts w:ascii="Arial" w:hAnsi="Arial" w:cs="Arial"/>
        </w:rPr>
        <w:t xml:space="preserve">Five months later an additional £5.617m </w:t>
      </w:r>
      <w:r w:rsidR="008E3F72">
        <w:rPr>
          <w:rFonts w:ascii="Arial" w:hAnsi="Arial" w:cs="Arial"/>
        </w:rPr>
        <w:t xml:space="preserve">grant </w:t>
      </w:r>
      <w:r>
        <w:rPr>
          <w:rFonts w:ascii="Arial" w:hAnsi="Arial" w:cs="Arial"/>
        </w:rPr>
        <w:t>was awarded</w:t>
      </w:r>
      <w:r w:rsidR="008E3F72">
        <w:rPr>
          <w:rFonts w:ascii="Arial" w:hAnsi="Arial" w:cs="Arial"/>
        </w:rPr>
        <w:t xml:space="preserve"> by the Scottish Government from its Heat Network Fund to expand the network to 500 homes and four more public buildings</w:t>
      </w:r>
      <w:r w:rsidR="008E3F72">
        <w:rPr>
          <w:rStyle w:val="FootnoteReference"/>
          <w:rFonts w:ascii="Arial" w:hAnsi="Arial" w:cs="Arial"/>
        </w:rPr>
        <w:footnoteReference w:id="29"/>
      </w:r>
      <w:r w:rsidR="008E3F72">
        <w:rPr>
          <w:rFonts w:ascii="Arial" w:hAnsi="Arial" w:cs="Arial"/>
        </w:rPr>
        <w:t>. The second phase will not be completed until 2026 – four years after the plant starts operating</w:t>
      </w:r>
      <w:r w:rsidR="00D02C9E">
        <w:rPr>
          <w:rFonts w:ascii="Arial" w:hAnsi="Arial" w:cs="Arial"/>
        </w:rPr>
        <w:t xml:space="preserve"> and not nearly soon enough to help people struggling to pay heating bills this winter</w:t>
      </w:r>
      <w:r w:rsidR="008E3F72">
        <w:rPr>
          <w:rFonts w:ascii="Arial" w:hAnsi="Arial" w:cs="Arial"/>
        </w:rPr>
        <w:t>.</w:t>
      </w:r>
    </w:p>
    <w:p w14:paraId="5D638E73" w14:textId="77777777" w:rsidR="00945058" w:rsidRDefault="00945058" w:rsidP="0091094A">
      <w:pPr>
        <w:rPr>
          <w:rFonts w:ascii="Arial" w:hAnsi="Arial" w:cs="Arial"/>
        </w:rPr>
      </w:pPr>
    </w:p>
    <w:p w14:paraId="4F5CB6A1" w14:textId="77777777" w:rsidR="008E3F72" w:rsidRDefault="008E3F72" w:rsidP="0091094A">
      <w:pPr>
        <w:rPr>
          <w:rFonts w:ascii="Arial" w:hAnsi="Arial" w:cs="Arial"/>
        </w:rPr>
      </w:pPr>
      <w:r>
        <w:rPr>
          <w:rFonts w:ascii="Arial" w:hAnsi="Arial" w:cs="Arial"/>
        </w:rPr>
        <w:t xml:space="preserve">The Heat and Power Plan for the plant states that if the </w:t>
      </w:r>
      <w:r w:rsidR="00077E48">
        <w:rPr>
          <w:rFonts w:ascii="Arial" w:hAnsi="Arial" w:cs="Arial"/>
        </w:rPr>
        <w:t>maximum heat export is achieved (10MW), the plant efficiency will be 46%</w:t>
      </w:r>
      <w:r w:rsidR="00077E48">
        <w:rPr>
          <w:rStyle w:val="FootnoteReference"/>
          <w:rFonts w:ascii="Arial" w:hAnsi="Arial" w:cs="Arial"/>
        </w:rPr>
        <w:footnoteReference w:id="30"/>
      </w:r>
      <w:r w:rsidR="00077E48">
        <w:rPr>
          <w:rFonts w:ascii="Arial" w:hAnsi="Arial" w:cs="Arial"/>
        </w:rPr>
        <w:t xml:space="preserve">. This is far short of the 70% efficiency claimed to be possible by Dr Colin Church, the Incineration </w:t>
      </w:r>
      <w:r w:rsidR="00AD77D1">
        <w:rPr>
          <w:rFonts w:ascii="Arial" w:hAnsi="Arial" w:cs="Arial"/>
        </w:rPr>
        <w:t>R</w:t>
      </w:r>
      <w:r w:rsidR="00077E48">
        <w:rPr>
          <w:rFonts w:ascii="Arial" w:hAnsi="Arial" w:cs="Arial"/>
        </w:rPr>
        <w:t>eview Chair</w:t>
      </w:r>
      <w:r w:rsidR="00077E48">
        <w:rPr>
          <w:rStyle w:val="FootnoteReference"/>
          <w:rFonts w:ascii="Arial" w:hAnsi="Arial" w:cs="Arial"/>
        </w:rPr>
        <w:footnoteReference w:id="31"/>
      </w:r>
      <w:r w:rsidR="00077E48">
        <w:rPr>
          <w:rFonts w:ascii="Arial" w:hAnsi="Arial" w:cs="Arial"/>
        </w:rPr>
        <w:t>.</w:t>
      </w:r>
    </w:p>
    <w:p w14:paraId="32D72B0F" w14:textId="77777777" w:rsidR="00077E48" w:rsidRDefault="00077E48" w:rsidP="0091094A">
      <w:pPr>
        <w:rPr>
          <w:rFonts w:ascii="Arial" w:hAnsi="Arial" w:cs="Arial"/>
        </w:rPr>
      </w:pPr>
    </w:p>
    <w:p w14:paraId="039BBFDC" w14:textId="77777777" w:rsidR="00077E48" w:rsidRDefault="00077E48" w:rsidP="0091094A">
      <w:pPr>
        <w:rPr>
          <w:rFonts w:ascii="Arial" w:hAnsi="Arial" w:cs="Arial"/>
        </w:rPr>
      </w:pPr>
      <w:r>
        <w:rPr>
          <w:rFonts w:ascii="Arial" w:hAnsi="Arial" w:cs="Arial"/>
        </w:rPr>
        <w:t>This example demonstrates that the reality of CHP does not live up to the hype: it is expensive, slow to retrofit and offers limited savings in efficiency.</w:t>
      </w:r>
    </w:p>
    <w:p w14:paraId="091C137F" w14:textId="77777777" w:rsidR="00486762" w:rsidRDefault="00486762" w:rsidP="0091094A">
      <w:pPr>
        <w:rPr>
          <w:rFonts w:ascii="Arial" w:hAnsi="Arial" w:cs="Arial"/>
        </w:rPr>
      </w:pPr>
    </w:p>
    <w:p w14:paraId="1524A7EF" w14:textId="77777777" w:rsidR="00B73C7C" w:rsidRPr="0000387A" w:rsidRDefault="00B73C7C" w:rsidP="0091094A">
      <w:pPr>
        <w:rPr>
          <w:rFonts w:ascii="Arial" w:hAnsi="Arial" w:cs="Arial"/>
          <w:i/>
        </w:rPr>
      </w:pPr>
      <w:r w:rsidRPr="0000387A">
        <w:rPr>
          <w:rFonts w:ascii="Arial" w:hAnsi="Arial" w:cs="Arial"/>
          <w:i/>
        </w:rPr>
        <w:t xml:space="preserve">Friends of the Earth Scotland </w:t>
      </w:r>
      <w:r w:rsidR="00077E48">
        <w:rPr>
          <w:rFonts w:ascii="Arial" w:hAnsi="Arial" w:cs="Arial"/>
          <w:i/>
        </w:rPr>
        <w:t xml:space="preserve">advices that </w:t>
      </w:r>
      <w:r w:rsidR="00077E48" w:rsidRPr="0000387A">
        <w:rPr>
          <w:rFonts w:ascii="Arial" w:hAnsi="Arial" w:cs="Arial"/>
          <w:i/>
        </w:rPr>
        <w:t>Combined Heat and Power</w:t>
      </w:r>
      <w:r w:rsidR="00077E48">
        <w:rPr>
          <w:rFonts w:ascii="Arial" w:hAnsi="Arial" w:cs="Arial"/>
          <w:i/>
        </w:rPr>
        <w:t xml:space="preserve"> will only be required for an extremely limited number of incinerators, where it is not in conflict with the </w:t>
      </w:r>
      <w:r w:rsidR="0000387A" w:rsidRPr="0000387A">
        <w:rPr>
          <w:rFonts w:ascii="Arial" w:hAnsi="Arial" w:cs="Arial"/>
          <w:i/>
        </w:rPr>
        <w:t>national phase out plan or risk exacerbating lock-in</w:t>
      </w:r>
      <w:r w:rsidR="00077E48">
        <w:rPr>
          <w:rFonts w:ascii="Arial" w:hAnsi="Arial" w:cs="Arial"/>
          <w:i/>
        </w:rPr>
        <w:t>.</w:t>
      </w:r>
      <w:r w:rsidRPr="0000387A">
        <w:rPr>
          <w:rFonts w:ascii="Arial" w:hAnsi="Arial" w:cs="Arial"/>
          <w:i/>
        </w:rPr>
        <w:t xml:space="preserve"> </w:t>
      </w:r>
      <w:r w:rsidR="00077E48">
        <w:rPr>
          <w:rFonts w:ascii="Arial" w:hAnsi="Arial" w:cs="Arial"/>
          <w:i/>
        </w:rPr>
        <w:t>In such cases, o</w:t>
      </w:r>
      <w:r w:rsidR="0000387A" w:rsidRPr="0000387A">
        <w:rPr>
          <w:rFonts w:ascii="Arial" w:hAnsi="Arial" w:cs="Arial"/>
          <w:i/>
        </w:rPr>
        <w:t>perators should be held to promises of retrofitting</w:t>
      </w:r>
      <w:r w:rsidR="00077E48">
        <w:rPr>
          <w:rFonts w:ascii="Arial" w:hAnsi="Arial" w:cs="Arial"/>
          <w:i/>
        </w:rPr>
        <w:t xml:space="preserve"> CHP, which should </w:t>
      </w:r>
      <w:r w:rsidR="0000387A" w:rsidRPr="0000387A">
        <w:rPr>
          <w:rFonts w:ascii="Arial" w:hAnsi="Arial" w:cs="Arial"/>
          <w:i/>
        </w:rPr>
        <w:t>be 100% privately financed.</w:t>
      </w:r>
    </w:p>
    <w:p w14:paraId="3A4B4987" w14:textId="77777777" w:rsidR="000B231A" w:rsidRDefault="000B231A" w:rsidP="0091094A">
      <w:pPr>
        <w:rPr>
          <w:rFonts w:ascii="Arial" w:hAnsi="Arial" w:cs="Arial"/>
        </w:rPr>
      </w:pPr>
    </w:p>
    <w:p w14:paraId="75508161" w14:textId="77777777" w:rsidR="0000387A" w:rsidRPr="00424CC2" w:rsidRDefault="0000387A" w:rsidP="0091094A">
      <w:pPr>
        <w:rPr>
          <w:rFonts w:ascii="Arial" w:hAnsi="Arial" w:cs="Arial"/>
        </w:rPr>
      </w:pPr>
    </w:p>
    <w:p w14:paraId="2C804F11" w14:textId="7142E6CC" w:rsidR="00A02BE4" w:rsidRPr="00424CC2" w:rsidRDefault="00040C8F" w:rsidP="00A02BE4">
      <w:pPr>
        <w:pStyle w:val="Heading1"/>
        <w:rPr>
          <w:rFonts w:cs="Arial"/>
        </w:rPr>
      </w:pPr>
      <w:bookmarkStart w:id="18" w:name="_Toc115343410"/>
      <w:r>
        <w:rPr>
          <w:rFonts w:cs="Arial"/>
        </w:rPr>
        <w:t>7</w:t>
      </w:r>
      <w:r w:rsidR="00A02BE4" w:rsidRPr="00424CC2">
        <w:rPr>
          <w:rFonts w:cs="Arial"/>
        </w:rPr>
        <w:t>. Carbon Capture and Storage</w:t>
      </w:r>
      <w:bookmarkEnd w:id="18"/>
    </w:p>
    <w:p w14:paraId="5165F725" w14:textId="77777777" w:rsidR="00DC6924" w:rsidRDefault="00DC6924" w:rsidP="00DC6924">
      <w:pPr>
        <w:rPr>
          <w:rFonts w:ascii="Arial" w:hAnsi="Arial" w:cs="Arial"/>
        </w:rPr>
      </w:pPr>
      <w:r>
        <w:rPr>
          <w:rFonts w:ascii="Arial" w:hAnsi="Arial" w:cs="Arial"/>
        </w:rPr>
        <w:t>Friends of the Earth Scotland’s original response to the Incineration Review explains</w:t>
      </w:r>
      <w:r w:rsidR="0000387A">
        <w:rPr>
          <w:rFonts w:ascii="Arial" w:hAnsi="Arial" w:cs="Arial"/>
        </w:rPr>
        <w:t xml:space="preserve"> that</w:t>
      </w:r>
      <w:r>
        <w:rPr>
          <w:rFonts w:ascii="Arial" w:hAnsi="Arial" w:cs="Arial"/>
        </w:rPr>
        <w:t xml:space="preserve"> </w:t>
      </w:r>
      <w:r w:rsidR="00641FAC">
        <w:rPr>
          <w:rFonts w:ascii="Arial" w:hAnsi="Arial" w:cs="Arial"/>
        </w:rPr>
        <w:t>CCS is a completely unsuitable solution for decarbonisation of incinerators</w:t>
      </w:r>
      <w:r w:rsidR="00641FAC">
        <w:rPr>
          <w:rStyle w:val="FootnoteReference"/>
          <w:rFonts w:ascii="Arial" w:hAnsi="Arial" w:cs="Arial"/>
        </w:rPr>
        <w:footnoteReference w:id="32"/>
      </w:r>
      <w:r w:rsidR="00641FAC">
        <w:rPr>
          <w:rFonts w:ascii="Arial" w:hAnsi="Arial" w:cs="Arial"/>
        </w:rPr>
        <w:t>. In summary, there are technical, economic, environmental and social concerns about CCS use for Scottish incinerators. Since responding to the Incineration Review call for evidence in February 2022, the evidence against CCS has grown.</w:t>
      </w:r>
    </w:p>
    <w:p w14:paraId="4FC73A94" w14:textId="77777777" w:rsidR="00641FAC" w:rsidRDefault="00641FAC" w:rsidP="00DC6924">
      <w:pPr>
        <w:rPr>
          <w:rFonts w:ascii="Arial" w:hAnsi="Arial" w:cs="Arial"/>
        </w:rPr>
      </w:pPr>
    </w:p>
    <w:p w14:paraId="291F2E70" w14:textId="59DCB230" w:rsidR="001718ED" w:rsidRPr="001718ED" w:rsidRDefault="00040C8F" w:rsidP="00362F0E">
      <w:pPr>
        <w:pStyle w:val="Heading2"/>
      </w:pPr>
      <w:bookmarkStart w:id="19" w:name="_Toc115343411"/>
      <w:r>
        <w:lastRenderedPageBreak/>
        <w:t>7</w:t>
      </w:r>
      <w:r w:rsidR="001718ED" w:rsidRPr="001718ED">
        <w:t>.1 CCS is increasingly claimed to be panacea by the waste industry</w:t>
      </w:r>
      <w:bookmarkEnd w:id="19"/>
    </w:p>
    <w:p w14:paraId="2C453D08" w14:textId="77777777" w:rsidR="00BB7BEF" w:rsidRDefault="00641FAC" w:rsidP="00DC6924">
      <w:pPr>
        <w:rPr>
          <w:rFonts w:ascii="Arial" w:hAnsi="Arial" w:cs="Arial"/>
        </w:rPr>
      </w:pPr>
      <w:r>
        <w:rPr>
          <w:rFonts w:ascii="Arial" w:hAnsi="Arial" w:cs="Arial"/>
        </w:rPr>
        <w:t xml:space="preserve">It remains the case that there is not a single operational carbon capture and storage plant in the UK or the EU. However, the number of incinerator operators claiming that their emissions can be abated through CCS has grown. </w:t>
      </w:r>
      <w:r w:rsidR="00DC6924" w:rsidRPr="008E11FA">
        <w:rPr>
          <w:rFonts w:ascii="Arial" w:hAnsi="Arial" w:cs="Arial"/>
        </w:rPr>
        <w:t xml:space="preserve">Viridor is the largest waste operator in the UK and manages the biggest incinerator in Scotland: the Dunbar Energy Recovery Facility. </w:t>
      </w:r>
    </w:p>
    <w:p w14:paraId="7743142D" w14:textId="77777777" w:rsidR="00BB7BEF" w:rsidRDefault="00BB7BEF" w:rsidP="00DC6924">
      <w:pPr>
        <w:rPr>
          <w:rFonts w:ascii="Arial" w:hAnsi="Arial" w:cs="Arial"/>
        </w:rPr>
      </w:pPr>
    </w:p>
    <w:p w14:paraId="6369EBFF" w14:textId="65C33F40" w:rsidR="008E11FA" w:rsidRDefault="008E11FA" w:rsidP="00DC6924">
      <w:pPr>
        <w:rPr>
          <w:rFonts w:ascii="Arial" w:hAnsi="Arial" w:cs="Arial"/>
        </w:rPr>
      </w:pPr>
      <w:r>
        <w:rPr>
          <w:rFonts w:ascii="Arial" w:hAnsi="Arial" w:cs="Arial"/>
        </w:rPr>
        <w:t>Viridor’s Roadmap to decarbonisation states: “We believe that by 2035 it should be possible to have implemented CCS at our four key EfW operations”</w:t>
      </w:r>
      <w:r>
        <w:rPr>
          <w:rStyle w:val="FootnoteReference"/>
          <w:rFonts w:ascii="Arial" w:hAnsi="Arial" w:cs="Arial"/>
        </w:rPr>
        <w:footnoteReference w:id="33"/>
      </w:r>
      <w:r>
        <w:rPr>
          <w:rFonts w:ascii="Arial" w:hAnsi="Arial" w:cs="Arial"/>
        </w:rPr>
        <w:t xml:space="preserve">. </w:t>
      </w:r>
      <w:r w:rsidR="00BB7BEF">
        <w:rPr>
          <w:rFonts w:ascii="Arial" w:hAnsi="Arial" w:cs="Arial"/>
        </w:rPr>
        <w:t xml:space="preserve"> T</w:t>
      </w:r>
      <w:r>
        <w:rPr>
          <w:rFonts w:ascii="Arial" w:hAnsi="Arial" w:cs="Arial"/>
        </w:rPr>
        <w:t xml:space="preserve">he 2021 report by Eunomia, written for Viridor, on which this claim is based shows that Dunbar is expected to be the first of Viridor’s incinerator to be CCS operational </w:t>
      </w:r>
      <w:r w:rsidR="0012128D">
        <w:rPr>
          <w:rFonts w:ascii="Arial" w:hAnsi="Arial" w:cs="Arial"/>
        </w:rPr>
        <w:t>with</w:t>
      </w:r>
      <w:r>
        <w:rPr>
          <w:rFonts w:ascii="Arial" w:hAnsi="Arial" w:cs="Arial"/>
        </w:rPr>
        <w:t xml:space="preserve"> an operational </w:t>
      </w:r>
      <w:r w:rsidR="0012128D">
        <w:rPr>
          <w:rFonts w:ascii="Arial" w:hAnsi="Arial" w:cs="Arial"/>
        </w:rPr>
        <w:t xml:space="preserve">start </w:t>
      </w:r>
      <w:r>
        <w:rPr>
          <w:rFonts w:ascii="Arial" w:hAnsi="Arial" w:cs="Arial"/>
        </w:rPr>
        <w:t>date of 2031</w:t>
      </w:r>
      <w:r>
        <w:rPr>
          <w:rStyle w:val="FootnoteReference"/>
          <w:rFonts w:ascii="Arial" w:hAnsi="Arial" w:cs="Arial"/>
        </w:rPr>
        <w:footnoteReference w:id="34"/>
      </w:r>
      <w:r>
        <w:rPr>
          <w:rFonts w:ascii="Arial" w:hAnsi="Arial" w:cs="Arial"/>
        </w:rPr>
        <w:t>.</w:t>
      </w:r>
      <w:r w:rsidR="00BB7BEF">
        <w:rPr>
          <w:rFonts w:ascii="Arial" w:hAnsi="Arial" w:cs="Arial"/>
        </w:rPr>
        <w:t xml:space="preserve"> </w:t>
      </w:r>
      <w:r>
        <w:rPr>
          <w:rFonts w:ascii="Arial" w:hAnsi="Arial" w:cs="Arial"/>
        </w:rPr>
        <w:t>The Dunbar facility opened in 2019</w:t>
      </w:r>
      <w:r w:rsidR="00BB7BEF">
        <w:rPr>
          <w:rFonts w:ascii="Arial" w:hAnsi="Arial" w:cs="Arial"/>
        </w:rPr>
        <w:t>, so e</w:t>
      </w:r>
      <w:r>
        <w:rPr>
          <w:rFonts w:ascii="Arial" w:hAnsi="Arial" w:cs="Arial"/>
        </w:rPr>
        <w:t xml:space="preserve">ven if CCS was </w:t>
      </w:r>
      <w:r w:rsidR="00BB7BEF">
        <w:rPr>
          <w:rFonts w:ascii="Arial" w:hAnsi="Arial" w:cs="Arial"/>
        </w:rPr>
        <w:t>retrofitted to the plant in 2031, the plant will have been emitting carbon for 12 years</w:t>
      </w:r>
      <w:r w:rsidR="0012128D">
        <w:rPr>
          <w:rFonts w:ascii="Arial" w:hAnsi="Arial" w:cs="Arial"/>
        </w:rPr>
        <w:t xml:space="preserve"> (over a quarter of its expected lifetime)</w:t>
      </w:r>
      <w:r w:rsidR="00BB7BEF">
        <w:rPr>
          <w:rFonts w:ascii="Arial" w:hAnsi="Arial" w:cs="Arial"/>
        </w:rPr>
        <w:t>.</w:t>
      </w:r>
    </w:p>
    <w:p w14:paraId="718F73F8" w14:textId="77777777" w:rsidR="00641FAC" w:rsidRDefault="00641FAC" w:rsidP="00DC6924">
      <w:pPr>
        <w:rPr>
          <w:rFonts w:ascii="Arial" w:hAnsi="Arial" w:cs="Arial"/>
        </w:rPr>
      </w:pPr>
    </w:p>
    <w:p w14:paraId="4B46F741" w14:textId="0E5E7882" w:rsidR="00362F0E" w:rsidRDefault="00BB7BEF" w:rsidP="00DC6924">
      <w:pPr>
        <w:rPr>
          <w:rFonts w:ascii="Arial" w:hAnsi="Arial" w:cs="Arial"/>
        </w:rPr>
      </w:pPr>
      <w:r>
        <w:rPr>
          <w:rFonts w:ascii="Arial" w:hAnsi="Arial" w:cs="Arial"/>
        </w:rPr>
        <w:t xml:space="preserve">After Viridor’s report was published, the UK </w:t>
      </w:r>
      <w:r w:rsidR="00082868">
        <w:rPr>
          <w:rFonts w:ascii="Arial" w:hAnsi="Arial" w:cs="Arial"/>
        </w:rPr>
        <w:t>G</w:t>
      </w:r>
      <w:r>
        <w:rPr>
          <w:rFonts w:ascii="Arial" w:hAnsi="Arial" w:cs="Arial"/>
        </w:rPr>
        <w:t>overnment announced that the Scottish cluster was not successful in the first round of funding</w:t>
      </w:r>
      <w:r>
        <w:rPr>
          <w:rStyle w:val="FootnoteReference"/>
          <w:rFonts w:ascii="Arial" w:hAnsi="Arial" w:cs="Arial"/>
        </w:rPr>
        <w:footnoteReference w:id="35"/>
      </w:r>
      <w:r>
        <w:rPr>
          <w:rFonts w:ascii="Arial" w:hAnsi="Arial" w:cs="Arial"/>
        </w:rPr>
        <w:t>. This is the first setback to retrofitting CCS to the Dunbar incinerator but it is unlikely to be the last.</w:t>
      </w:r>
      <w:r w:rsidR="0094688D">
        <w:rPr>
          <w:rFonts w:ascii="Arial" w:hAnsi="Arial" w:cs="Arial"/>
        </w:rPr>
        <w:t xml:space="preserve"> It is not clear that the Dunbar incinerator would be part of the Scottish CCS cluster – there is no mention of it in the </w:t>
      </w:r>
      <w:r w:rsidR="00486762">
        <w:rPr>
          <w:rFonts w:ascii="Arial" w:hAnsi="Arial" w:cs="Arial"/>
        </w:rPr>
        <w:t>Scottish Cluster</w:t>
      </w:r>
      <w:r w:rsidR="00486762">
        <w:rPr>
          <w:rStyle w:val="FootnoteReference"/>
          <w:rFonts w:ascii="Arial" w:hAnsi="Arial" w:cs="Arial"/>
        </w:rPr>
        <w:footnoteReference w:id="36"/>
      </w:r>
      <w:r w:rsidR="00486762">
        <w:rPr>
          <w:rFonts w:ascii="Arial" w:hAnsi="Arial" w:cs="Arial"/>
        </w:rPr>
        <w:t xml:space="preserve"> or Acorn websites. The Eunomia report </w:t>
      </w:r>
      <w:r w:rsidR="00082868">
        <w:rPr>
          <w:rFonts w:ascii="Arial" w:hAnsi="Arial" w:cs="Arial"/>
        </w:rPr>
        <w:t xml:space="preserve">acknowledges </w:t>
      </w:r>
      <w:r w:rsidR="00486762">
        <w:rPr>
          <w:rFonts w:ascii="Arial" w:hAnsi="Arial" w:cs="Arial"/>
        </w:rPr>
        <w:t>that the Dunbar plant could only be included in the second phase of CCS development for incinerators as it is not geographically close enough to the rest of the Scottish cluster to be incorporated into it directly, instead relying on its proximity to a port hub (Section 4.2.2).</w:t>
      </w:r>
    </w:p>
    <w:p w14:paraId="7C8844E3" w14:textId="77777777" w:rsidR="00641FAC" w:rsidRDefault="00641FAC" w:rsidP="00DC6924">
      <w:pPr>
        <w:rPr>
          <w:rFonts w:ascii="Arial" w:hAnsi="Arial" w:cs="Arial"/>
        </w:rPr>
      </w:pPr>
    </w:p>
    <w:p w14:paraId="12C7B539" w14:textId="3A98A997" w:rsidR="001718ED" w:rsidRPr="001718ED" w:rsidRDefault="00040C8F" w:rsidP="00362F0E">
      <w:pPr>
        <w:pStyle w:val="Heading2"/>
      </w:pPr>
      <w:bookmarkStart w:id="20" w:name="_Toc115343412"/>
      <w:r>
        <w:t>7</w:t>
      </w:r>
      <w:r w:rsidR="001718ED" w:rsidRPr="001718ED">
        <w:t>.2 CCS plans usually fail</w:t>
      </w:r>
      <w:bookmarkEnd w:id="20"/>
    </w:p>
    <w:p w14:paraId="12800FD2" w14:textId="5941C92C" w:rsidR="004024F8" w:rsidRDefault="001718ED" w:rsidP="00DC6924">
      <w:pPr>
        <w:rPr>
          <w:rFonts w:ascii="Arial" w:hAnsi="Arial" w:cs="Arial"/>
        </w:rPr>
      </w:pPr>
      <w:r>
        <w:rPr>
          <w:rFonts w:ascii="Arial" w:hAnsi="Arial" w:cs="Arial"/>
        </w:rPr>
        <w:t>A</w:t>
      </w:r>
      <w:r w:rsidR="004024F8">
        <w:rPr>
          <w:rFonts w:ascii="Arial" w:hAnsi="Arial" w:cs="Arial"/>
        </w:rPr>
        <w:t xml:space="preserve"> new report published by the Institute for Energy Economics and Financial Analysis in September 2022 found that “the 90% emissions reduction targets generally claimed by the industry has been unreachable in practice”</w:t>
      </w:r>
      <w:r w:rsidR="004024F8">
        <w:rPr>
          <w:rStyle w:val="FootnoteReference"/>
          <w:rFonts w:ascii="Arial" w:hAnsi="Arial" w:cs="Arial"/>
        </w:rPr>
        <w:footnoteReference w:id="37"/>
      </w:r>
      <w:r w:rsidR="004024F8">
        <w:rPr>
          <w:rFonts w:ascii="Arial" w:hAnsi="Arial" w:cs="Arial"/>
        </w:rPr>
        <w:t xml:space="preserve">. The study is based on 13 </w:t>
      </w:r>
      <w:r w:rsidR="00D4789B">
        <w:rPr>
          <w:rFonts w:ascii="Arial" w:hAnsi="Arial" w:cs="Arial"/>
        </w:rPr>
        <w:t>leading</w:t>
      </w:r>
      <w:r w:rsidR="004024F8">
        <w:rPr>
          <w:rFonts w:ascii="Arial" w:hAnsi="Arial" w:cs="Arial"/>
        </w:rPr>
        <w:t xml:space="preserve"> </w:t>
      </w:r>
      <w:r w:rsidR="00D4789B">
        <w:rPr>
          <w:rFonts w:ascii="Arial" w:hAnsi="Arial" w:cs="Arial"/>
        </w:rPr>
        <w:t>CCS case studies</w:t>
      </w:r>
      <w:r w:rsidR="004024F8">
        <w:rPr>
          <w:rFonts w:ascii="Arial" w:hAnsi="Arial" w:cs="Arial"/>
        </w:rPr>
        <w:t xml:space="preserve"> (</w:t>
      </w:r>
      <w:r w:rsidR="00D4789B">
        <w:rPr>
          <w:rFonts w:ascii="Arial" w:hAnsi="Arial" w:cs="Arial"/>
        </w:rPr>
        <w:t xml:space="preserve">comprising of </w:t>
      </w:r>
      <w:r w:rsidR="004024F8">
        <w:rPr>
          <w:rFonts w:ascii="Arial" w:hAnsi="Arial" w:cs="Arial"/>
        </w:rPr>
        <w:t>10 operational plants, 2 that have failed and 1 suspended plant) which represents 55% of the total nominal capture capacity operating globally.</w:t>
      </w:r>
      <w:r>
        <w:rPr>
          <w:rFonts w:ascii="Arial" w:hAnsi="Arial" w:cs="Arial"/>
        </w:rPr>
        <w:t xml:space="preserve"> A key finding of the report was that failed and underperforming projects considerably outnumbered successful experiences (10 of the 13 projects, comprising 90% of the total capture capacity</w:t>
      </w:r>
      <w:r w:rsidR="00D4789B">
        <w:rPr>
          <w:rFonts w:ascii="Arial" w:hAnsi="Arial" w:cs="Arial"/>
        </w:rPr>
        <w:t>,</w:t>
      </w:r>
      <w:r>
        <w:rPr>
          <w:rFonts w:ascii="Arial" w:hAnsi="Arial" w:cs="Arial"/>
        </w:rPr>
        <w:t xml:space="preserve"> failed or underperformed by large margins) – this should be accounted for in the Scottish Decarbonisation review. The successful plants mainly existed in the natural gas processing sector – a very different operating environment and scale to the waste sector.</w:t>
      </w:r>
    </w:p>
    <w:p w14:paraId="55EBA309" w14:textId="77777777" w:rsidR="001718ED" w:rsidRPr="00DC6924" w:rsidRDefault="001718ED" w:rsidP="001718ED">
      <w:pPr>
        <w:rPr>
          <w:rFonts w:ascii="Arial" w:hAnsi="Arial" w:cs="Arial"/>
        </w:rPr>
      </w:pPr>
    </w:p>
    <w:p w14:paraId="4BDA6F81" w14:textId="77777777" w:rsidR="001718ED" w:rsidRDefault="001718ED" w:rsidP="001718ED">
      <w:pPr>
        <w:rPr>
          <w:rFonts w:ascii="Arial" w:hAnsi="Arial" w:cs="Arial"/>
        </w:rPr>
      </w:pPr>
      <w:r>
        <w:rPr>
          <w:rFonts w:ascii="Arial" w:hAnsi="Arial" w:cs="Arial"/>
        </w:rPr>
        <w:t xml:space="preserve">In August 2022, Copenhagen was forced to abandon its commitment to become carbon neutral by 2025 due to a lack of CCS funding for its </w:t>
      </w:r>
      <w:r w:rsidR="00D4789B">
        <w:rPr>
          <w:rFonts w:ascii="Arial" w:hAnsi="Arial" w:cs="Arial"/>
        </w:rPr>
        <w:t>flagship incinerator plant, the Amager Resource Centre</w:t>
      </w:r>
      <w:r w:rsidR="00D4789B">
        <w:rPr>
          <w:rStyle w:val="FootnoteReference"/>
          <w:rFonts w:ascii="Arial" w:hAnsi="Arial" w:cs="Arial"/>
        </w:rPr>
        <w:footnoteReference w:id="38"/>
      </w:r>
      <w:r w:rsidR="00D4789B">
        <w:rPr>
          <w:rFonts w:ascii="Arial" w:hAnsi="Arial" w:cs="Arial"/>
        </w:rPr>
        <w:t xml:space="preserve">. The project failed to secure state funding and, according to Energywatch.dk, it does not have the necessary equity capital to secure </w:t>
      </w:r>
      <w:r w:rsidR="00D4789B">
        <w:rPr>
          <w:rFonts w:ascii="Arial" w:hAnsi="Arial" w:cs="Arial"/>
        </w:rPr>
        <w:lastRenderedPageBreak/>
        <w:t>private investment. This example underlines both the risk of relying on CCS to reduce emissions and the threat incinerators pose to Net Zero targets.</w:t>
      </w:r>
    </w:p>
    <w:p w14:paraId="15F47C89" w14:textId="77777777" w:rsidR="00A02BE4" w:rsidRDefault="00A02BE4" w:rsidP="0091094A">
      <w:pPr>
        <w:rPr>
          <w:rFonts w:ascii="Arial" w:hAnsi="Arial" w:cs="Arial"/>
        </w:rPr>
      </w:pPr>
    </w:p>
    <w:p w14:paraId="5F5A50FC" w14:textId="56F8A0D6" w:rsidR="00D4789B" w:rsidRPr="005C2B95" w:rsidRDefault="00D4789B" w:rsidP="0091094A">
      <w:pPr>
        <w:rPr>
          <w:rFonts w:ascii="Arial" w:hAnsi="Arial" w:cs="Arial"/>
          <w:i/>
        </w:rPr>
      </w:pPr>
      <w:r w:rsidRPr="005C2B95">
        <w:rPr>
          <w:rFonts w:ascii="Arial" w:hAnsi="Arial" w:cs="Arial"/>
          <w:i/>
        </w:rPr>
        <w:t xml:space="preserve">Friends of the Earth Scotland strongly recommends that the </w:t>
      </w:r>
      <w:r w:rsidR="005C2B95" w:rsidRPr="005C2B95">
        <w:rPr>
          <w:rFonts w:ascii="Arial" w:hAnsi="Arial" w:cs="Arial"/>
          <w:i/>
        </w:rPr>
        <w:t>Decarbonisation</w:t>
      </w:r>
      <w:r w:rsidRPr="005C2B95">
        <w:rPr>
          <w:rFonts w:ascii="Arial" w:hAnsi="Arial" w:cs="Arial"/>
          <w:i/>
        </w:rPr>
        <w:t xml:space="preserve"> Study </w:t>
      </w:r>
      <w:r w:rsidR="00BB7D28" w:rsidRPr="005C2B95">
        <w:rPr>
          <w:rFonts w:ascii="Arial" w:hAnsi="Arial" w:cs="Arial"/>
          <w:i/>
        </w:rPr>
        <w:t xml:space="preserve">excludes CCS as a viable solution for reducing emissions from </w:t>
      </w:r>
      <w:r w:rsidR="0012128D">
        <w:rPr>
          <w:rFonts w:ascii="Arial" w:hAnsi="Arial" w:cs="Arial"/>
          <w:i/>
        </w:rPr>
        <w:t xml:space="preserve">any of </w:t>
      </w:r>
      <w:r w:rsidR="00BB7D28" w:rsidRPr="005C2B95">
        <w:rPr>
          <w:rFonts w:ascii="Arial" w:hAnsi="Arial" w:cs="Arial"/>
          <w:i/>
        </w:rPr>
        <w:t>Scotland’s incinerators.</w:t>
      </w:r>
      <w:r w:rsidR="004B1A63">
        <w:rPr>
          <w:rFonts w:ascii="Arial" w:hAnsi="Arial" w:cs="Arial"/>
          <w:i/>
        </w:rPr>
        <w:t xml:space="preserve"> </w:t>
      </w:r>
    </w:p>
    <w:p w14:paraId="26E1BCC0" w14:textId="77777777" w:rsidR="00D4789B" w:rsidRDefault="00D4789B" w:rsidP="0091094A">
      <w:pPr>
        <w:rPr>
          <w:rFonts w:ascii="Arial" w:hAnsi="Arial" w:cs="Arial"/>
        </w:rPr>
      </w:pPr>
    </w:p>
    <w:p w14:paraId="3D12C620" w14:textId="77777777" w:rsidR="005C2B95" w:rsidRPr="00424CC2" w:rsidRDefault="005C2B95" w:rsidP="0091094A">
      <w:pPr>
        <w:rPr>
          <w:rFonts w:ascii="Arial" w:hAnsi="Arial" w:cs="Arial"/>
        </w:rPr>
      </w:pPr>
    </w:p>
    <w:p w14:paraId="14479231" w14:textId="07220B5B" w:rsidR="003E7DC2" w:rsidRPr="00424CC2" w:rsidRDefault="00040C8F" w:rsidP="00906D83">
      <w:pPr>
        <w:pStyle w:val="Heading1"/>
        <w:rPr>
          <w:rFonts w:cs="Arial"/>
        </w:rPr>
      </w:pPr>
      <w:bookmarkStart w:id="21" w:name="_Toc115343413"/>
      <w:r>
        <w:rPr>
          <w:rFonts w:cs="Arial"/>
        </w:rPr>
        <w:t>8</w:t>
      </w:r>
      <w:r w:rsidR="003E7DC2" w:rsidRPr="00424CC2">
        <w:rPr>
          <w:rFonts w:cs="Arial"/>
        </w:rPr>
        <w:t xml:space="preserve">. </w:t>
      </w:r>
      <w:r w:rsidR="00EB765C">
        <w:rPr>
          <w:rFonts w:cs="Arial"/>
        </w:rPr>
        <w:t>Taxation policy options</w:t>
      </w:r>
      <w:bookmarkEnd w:id="21"/>
    </w:p>
    <w:p w14:paraId="18C0301B" w14:textId="65015539" w:rsidR="00837975" w:rsidRDefault="00837975" w:rsidP="0091094A">
      <w:pPr>
        <w:rPr>
          <w:rFonts w:ascii="Arial" w:hAnsi="Arial" w:cs="Arial"/>
        </w:rPr>
      </w:pPr>
      <w:r>
        <w:rPr>
          <w:rFonts w:ascii="Arial" w:hAnsi="Arial" w:cs="Arial"/>
        </w:rPr>
        <w:t>Friends of the Earth Scotland’s response to the original Incineration Review laid out our concerns relating to an incinerator tax</w:t>
      </w:r>
      <w:r w:rsidR="004B1A63">
        <w:rPr>
          <w:rFonts w:ascii="Arial" w:hAnsi="Arial" w:cs="Arial"/>
        </w:rPr>
        <w:t xml:space="preserve">, </w:t>
      </w:r>
      <w:r>
        <w:rPr>
          <w:rFonts w:ascii="Arial" w:hAnsi="Arial" w:cs="Arial"/>
        </w:rPr>
        <w:t xml:space="preserve">a waste carbon tax </w:t>
      </w:r>
      <w:r w:rsidR="004B1A63">
        <w:rPr>
          <w:rFonts w:ascii="Arial" w:hAnsi="Arial" w:cs="Arial"/>
        </w:rPr>
        <w:t xml:space="preserve">or including incinerators in a UK ETS </w:t>
      </w:r>
      <w:r>
        <w:rPr>
          <w:rFonts w:ascii="Arial" w:hAnsi="Arial" w:cs="Arial"/>
        </w:rPr>
        <w:t>as policy mechanism</w:t>
      </w:r>
      <w:r w:rsidR="004B1A63">
        <w:rPr>
          <w:rFonts w:ascii="Arial" w:hAnsi="Arial" w:cs="Arial"/>
        </w:rPr>
        <w:t>s</w:t>
      </w:r>
      <w:r>
        <w:rPr>
          <w:rFonts w:ascii="Arial" w:hAnsi="Arial" w:cs="Arial"/>
        </w:rPr>
        <w:t xml:space="preserve"> for reducing the carbon impact of incineration</w:t>
      </w:r>
      <w:r w:rsidR="004B1A63">
        <w:rPr>
          <w:rFonts w:ascii="Arial" w:hAnsi="Arial" w:cs="Arial"/>
        </w:rPr>
        <w:t xml:space="preserve"> (Section 3.4)</w:t>
      </w:r>
      <w:r>
        <w:rPr>
          <w:rFonts w:ascii="Arial" w:hAnsi="Arial" w:cs="Arial"/>
        </w:rPr>
        <w:t xml:space="preserve">. </w:t>
      </w:r>
      <w:r w:rsidR="004B1A63">
        <w:rPr>
          <w:rFonts w:ascii="Arial" w:hAnsi="Arial" w:cs="Arial"/>
        </w:rPr>
        <w:t>In summary, these options would</w:t>
      </w:r>
      <w:r w:rsidR="0012128D">
        <w:rPr>
          <w:rFonts w:ascii="Arial" w:hAnsi="Arial" w:cs="Arial"/>
        </w:rPr>
        <w:t>, on their own,</w:t>
      </w:r>
      <w:r w:rsidR="004B1A63">
        <w:rPr>
          <w:rFonts w:ascii="Arial" w:hAnsi="Arial" w:cs="Arial"/>
        </w:rPr>
        <w:t xml:space="preserve"> not address the root causes of waste production, it would be slow to become effective and the burden of cost falls to Local Authorities. </w:t>
      </w:r>
    </w:p>
    <w:p w14:paraId="2002282B" w14:textId="77777777" w:rsidR="004B1A63" w:rsidRDefault="004B1A63" w:rsidP="0091094A">
      <w:pPr>
        <w:rPr>
          <w:rFonts w:ascii="Arial" w:hAnsi="Arial" w:cs="Arial"/>
        </w:rPr>
      </w:pPr>
    </w:p>
    <w:p w14:paraId="0DCBC17B" w14:textId="77777777" w:rsidR="00906D83" w:rsidRDefault="004B1A63" w:rsidP="0091094A">
      <w:pPr>
        <w:rPr>
          <w:rFonts w:ascii="Arial" w:hAnsi="Arial" w:cs="Arial"/>
        </w:rPr>
      </w:pPr>
      <w:r>
        <w:rPr>
          <w:rFonts w:ascii="Arial" w:hAnsi="Arial" w:cs="Arial"/>
        </w:rPr>
        <w:t xml:space="preserve">If a tax or inclusion in the UK ETS is recommended, this should only be considered as a complimentary policy to an immediate ban on burning plastics (to counteract the </w:t>
      </w:r>
      <w:proofErr w:type="gramStart"/>
      <w:r>
        <w:rPr>
          <w:rFonts w:ascii="Arial" w:hAnsi="Arial" w:cs="Arial"/>
        </w:rPr>
        <w:t>long time</w:t>
      </w:r>
      <w:proofErr w:type="gramEnd"/>
      <w:r>
        <w:rPr>
          <w:rFonts w:ascii="Arial" w:hAnsi="Arial" w:cs="Arial"/>
        </w:rPr>
        <w:t xml:space="preserve"> scales involved in setting up and implementing such policies).</w:t>
      </w:r>
    </w:p>
    <w:p w14:paraId="5CCA4693" w14:textId="77777777" w:rsidR="004B1A63" w:rsidRDefault="004B1A63" w:rsidP="0091094A">
      <w:pPr>
        <w:rPr>
          <w:rFonts w:ascii="Arial" w:hAnsi="Arial" w:cs="Arial"/>
        </w:rPr>
      </w:pPr>
    </w:p>
    <w:p w14:paraId="57026CC3" w14:textId="77777777" w:rsidR="004B1A63" w:rsidRPr="004B1A63" w:rsidRDefault="004B1A63" w:rsidP="0091094A">
      <w:pPr>
        <w:rPr>
          <w:rFonts w:ascii="Arial" w:hAnsi="Arial" w:cs="Arial"/>
          <w:i/>
        </w:rPr>
      </w:pPr>
      <w:r w:rsidRPr="004B1A63">
        <w:rPr>
          <w:rFonts w:ascii="Arial" w:hAnsi="Arial" w:cs="Arial"/>
          <w:i/>
        </w:rPr>
        <w:t>Friends of the Earth Scotland recommends that strategies for decarbonising incineration in Scotland do not rely on tax or market mechanisms alone.</w:t>
      </w:r>
    </w:p>
    <w:p w14:paraId="13135C3E" w14:textId="77777777" w:rsidR="004B1A63" w:rsidRDefault="004B1A63" w:rsidP="0091094A">
      <w:pPr>
        <w:rPr>
          <w:rFonts w:ascii="Arial" w:hAnsi="Arial" w:cs="Arial"/>
        </w:rPr>
      </w:pPr>
    </w:p>
    <w:p w14:paraId="68C68379" w14:textId="77777777" w:rsidR="004B1A63" w:rsidRPr="00424CC2" w:rsidRDefault="004B1A63" w:rsidP="0091094A">
      <w:pPr>
        <w:rPr>
          <w:rFonts w:ascii="Arial" w:hAnsi="Arial" w:cs="Arial"/>
        </w:rPr>
      </w:pPr>
    </w:p>
    <w:p w14:paraId="216469B4" w14:textId="103F1126" w:rsidR="00906D83" w:rsidRPr="00ED1FC1" w:rsidRDefault="00040C8F" w:rsidP="00ED1FC1">
      <w:pPr>
        <w:pStyle w:val="Heading1"/>
      </w:pPr>
      <w:bookmarkStart w:id="22" w:name="_Toc115343414"/>
      <w:r>
        <w:t>Summary of main recommendations</w:t>
      </w:r>
      <w:bookmarkEnd w:id="22"/>
    </w:p>
    <w:p w14:paraId="2437D28B" w14:textId="77777777" w:rsidR="00404EC3" w:rsidRDefault="004B1A63" w:rsidP="0091094A">
      <w:pPr>
        <w:rPr>
          <w:rFonts w:ascii="Arial" w:hAnsi="Arial" w:cs="Arial"/>
        </w:rPr>
      </w:pPr>
      <w:r>
        <w:rPr>
          <w:rFonts w:ascii="Arial" w:hAnsi="Arial" w:cs="Arial"/>
        </w:rPr>
        <w:t>This document sets out Friends of the Earth Scotland’s concerns and recommendations regarding the Scottish Government’s study of how to decarbonise incineration. Our main recommendations include:</w:t>
      </w:r>
    </w:p>
    <w:p w14:paraId="0C94E229" w14:textId="77777777" w:rsidR="004B1A63" w:rsidRDefault="004B1A63" w:rsidP="004B1A63">
      <w:pPr>
        <w:rPr>
          <w:rFonts w:ascii="Arial" w:hAnsi="Arial" w:cs="Arial"/>
          <w:i/>
        </w:rPr>
      </w:pPr>
    </w:p>
    <w:p w14:paraId="6F053033" w14:textId="77777777" w:rsidR="009975DD" w:rsidRPr="009975DD" w:rsidRDefault="009975DD" w:rsidP="009975DD">
      <w:pPr>
        <w:pStyle w:val="ListParagraph"/>
        <w:numPr>
          <w:ilvl w:val="0"/>
          <w:numId w:val="12"/>
        </w:numPr>
        <w:rPr>
          <w:rFonts w:ascii="Arial" w:hAnsi="Arial" w:cs="Arial"/>
          <w:i/>
        </w:rPr>
      </w:pPr>
      <w:r w:rsidRPr="009975DD">
        <w:rPr>
          <w:rFonts w:ascii="Arial" w:hAnsi="Arial" w:cs="Arial"/>
          <w:i/>
        </w:rPr>
        <w:t>Scotland’s incineration capacity must reduce in line with our climate targets: emissions from incineration must reduce to 75% by 2030 and net zero by 2045, at the least, relative to 1990 levels. As with any sectors, all possible efforts to reduce the direct emissions from incineration must be made.</w:t>
      </w:r>
    </w:p>
    <w:p w14:paraId="3C44EE8C" w14:textId="77777777" w:rsidR="00ED1FC1" w:rsidRDefault="00ED1FC1" w:rsidP="00ED1FC1">
      <w:pPr>
        <w:pStyle w:val="ListParagraph"/>
        <w:rPr>
          <w:rFonts w:ascii="Arial" w:hAnsi="Arial" w:cs="Arial"/>
          <w:i/>
        </w:rPr>
      </w:pPr>
    </w:p>
    <w:p w14:paraId="46B4F332" w14:textId="14026E0F" w:rsidR="004B1A63" w:rsidRPr="004B1A63" w:rsidRDefault="007360B8" w:rsidP="004B1A63">
      <w:pPr>
        <w:pStyle w:val="ListParagraph"/>
        <w:numPr>
          <w:ilvl w:val="0"/>
          <w:numId w:val="11"/>
        </w:numPr>
        <w:rPr>
          <w:rFonts w:ascii="Arial" w:hAnsi="Arial" w:cs="Arial"/>
          <w:i/>
        </w:rPr>
      </w:pPr>
      <w:r>
        <w:rPr>
          <w:rFonts w:ascii="Arial" w:hAnsi="Arial" w:cs="Arial"/>
          <w:i/>
        </w:rPr>
        <w:t>The creation of a phaseout</w:t>
      </w:r>
      <w:r w:rsidR="004B1A63" w:rsidRPr="004B1A63">
        <w:rPr>
          <w:rFonts w:ascii="Arial" w:hAnsi="Arial" w:cs="Arial"/>
          <w:i/>
        </w:rPr>
        <w:t xml:space="preserve"> </w:t>
      </w:r>
      <w:r w:rsidR="004B1A63" w:rsidRPr="004B1A63">
        <w:rPr>
          <w:rFonts w:ascii="Arial" w:hAnsi="Arial" w:cs="Arial"/>
          <w:b/>
          <w:i/>
        </w:rPr>
        <w:t>schedule to close individual incinerator plants</w:t>
      </w:r>
      <w:r>
        <w:rPr>
          <w:rFonts w:ascii="Arial" w:hAnsi="Arial" w:cs="Arial"/>
          <w:i/>
        </w:rPr>
        <w:t xml:space="preserve"> in order of greatest decarbonisation potential</w:t>
      </w:r>
      <w:r w:rsidR="004B1A63" w:rsidRPr="004B1A63">
        <w:rPr>
          <w:rFonts w:ascii="Arial" w:hAnsi="Arial" w:cs="Arial"/>
          <w:i/>
        </w:rPr>
        <w:t>.</w:t>
      </w:r>
    </w:p>
    <w:p w14:paraId="26E296C3" w14:textId="77777777" w:rsidR="004B1A63" w:rsidRDefault="004B1A63" w:rsidP="004B1A63">
      <w:pPr>
        <w:rPr>
          <w:rFonts w:ascii="Arial" w:hAnsi="Arial" w:cs="Arial"/>
          <w:i/>
        </w:rPr>
      </w:pPr>
    </w:p>
    <w:p w14:paraId="2BA6E2A4" w14:textId="0D71917F" w:rsidR="00ED1FC1" w:rsidRPr="00ED1FC1" w:rsidRDefault="004B1A63" w:rsidP="00ED1FC1">
      <w:pPr>
        <w:pStyle w:val="ListParagraph"/>
        <w:numPr>
          <w:ilvl w:val="0"/>
          <w:numId w:val="11"/>
        </w:numPr>
        <w:rPr>
          <w:rFonts w:ascii="Arial" w:hAnsi="Arial" w:cs="Arial"/>
          <w:i/>
        </w:rPr>
      </w:pPr>
      <w:r>
        <w:rPr>
          <w:rFonts w:ascii="Arial" w:hAnsi="Arial" w:cs="Arial"/>
          <w:b/>
          <w:i/>
        </w:rPr>
        <w:t>W</w:t>
      </w:r>
      <w:r w:rsidRPr="004B1A63">
        <w:rPr>
          <w:rFonts w:ascii="Arial" w:hAnsi="Arial" w:cs="Arial"/>
          <w:b/>
          <w:i/>
        </w:rPr>
        <w:t>aste workers and their Unions</w:t>
      </w:r>
      <w:r w:rsidRPr="004B1A63">
        <w:rPr>
          <w:rFonts w:ascii="Arial" w:hAnsi="Arial" w:cs="Arial"/>
          <w:i/>
        </w:rPr>
        <w:t xml:space="preserve"> </w:t>
      </w:r>
      <w:r w:rsidR="00CD482B">
        <w:rPr>
          <w:rFonts w:ascii="Arial" w:hAnsi="Arial" w:cs="Arial"/>
          <w:i/>
        </w:rPr>
        <w:t xml:space="preserve">are </w:t>
      </w:r>
      <w:r w:rsidR="000112D2">
        <w:rPr>
          <w:rFonts w:ascii="Arial" w:hAnsi="Arial" w:cs="Arial"/>
          <w:i/>
        </w:rPr>
        <w:t>involved in shaping</w:t>
      </w:r>
      <w:r w:rsidRPr="004B1A63">
        <w:rPr>
          <w:rFonts w:ascii="Arial" w:hAnsi="Arial" w:cs="Arial"/>
          <w:i/>
        </w:rPr>
        <w:t xml:space="preserve"> transformational changes to the sector.</w:t>
      </w:r>
    </w:p>
    <w:p w14:paraId="2CD4FB13" w14:textId="77777777" w:rsidR="004B1A63" w:rsidRDefault="004B1A63" w:rsidP="004B1A63">
      <w:pPr>
        <w:rPr>
          <w:rFonts w:ascii="Arial" w:hAnsi="Arial" w:cs="Arial"/>
        </w:rPr>
      </w:pPr>
    </w:p>
    <w:p w14:paraId="504DF297" w14:textId="77777777" w:rsidR="009975DD" w:rsidRDefault="00CD482B" w:rsidP="009975DD">
      <w:pPr>
        <w:pStyle w:val="ListParagraph"/>
        <w:numPr>
          <w:ilvl w:val="0"/>
          <w:numId w:val="11"/>
        </w:numPr>
        <w:rPr>
          <w:rFonts w:ascii="Arial" w:hAnsi="Arial" w:cs="Arial"/>
          <w:i/>
        </w:rPr>
      </w:pPr>
      <w:r>
        <w:rPr>
          <w:rFonts w:ascii="Arial" w:hAnsi="Arial" w:cs="Arial"/>
          <w:i/>
        </w:rPr>
        <w:t>T</w:t>
      </w:r>
      <w:r w:rsidR="004B1A63" w:rsidRPr="004B1A63">
        <w:rPr>
          <w:rFonts w:ascii="Arial" w:hAnsi="Arial" w:cs="Arial"/>
          <w:i/>
        </w:rPr>
        <w:t xml:space="preserve">he Scottish Government </w:t>
      </w:r>
      <w:r w:rsidR="004B1A63" w:rsidRPr="00CD482B">
        <w:rPr>
          <w:rFonts w:ascii="Arial" w:hAnsi="Arial" w:cs="Arial"/>
          <w:b/>
          <w:i/>
        </w:rPr>
        <w:t>ban</w:t>
      </w:r>
      <w:r w:rsidRPr="00CD482B">
        <w:rPr>
          <w:rFonts w:ascii="Arial" w:hAnsi="Arial" w:cs="Arial"/>
          <w:b/>
          <w:i/>
        </w:rPr>
        <w:t>s</w:t>
      </w:r>
      <w:r w:rsidR="004B1A63" w:rsidRPr="00CD482B">
        <w:rPr>
          <w:rFonts w:ascii="Arial" w:hAnsi="Arial" w:cs="Arial"/>
          <w:b/>
          <w:i/>
        </w:rPr>
        <w:t xml:space="preserve"> the burning of plastic waste</w:t>
      </w:r>
      <w:r w:rsidRPr="00CD482B">
        <w:rPr>
          <w:rFonts w:ascii="Arial" w:hAnsi="Arial" w:cs="Arial"/>
          <w:b/>
          <w:i/>
        </w:rPr>
        <w:t xml:space="preserve"> immediately</w:t>
      </w:r>
      <w:r w:rsidR="004B1A63" w:rsidRPr="004B1A63">
        <w:rPr>
          <w:rFonts w:ascii="Arial" w:hAnsi="Arial" w:cs="Arial"/>
          <w:i/>
        </w:rPr>
        <w:t>.</w:t>
      </w:r>
    </w:p>
    <w:p w14:paraId="59605AA7" w14:textId="77777777" w:rsidR="009975DD" w:rsidRPr="009975DD" w:rsidRDefault="009975DD" w:rsidP="009975DD">
      <w:pPr>
        <w:pStyle w:val="ListParagraph"/>
        <w:rPr>
          <w:rFonts w:ascii="Arial" w:hAnsi="Arial" w:cs="Arial"/>
          <w:i/>
        </w:rPr>
      </w:pPr>
    </w:p>
    <w:p w14:paraId="73325F8A" w14:textId="3B51E86A" w:rsidR="009975DD" w:rsidRPr="009975DD" w:rsidRDefault="009975DD" w:rsidP="009975DD">
      <w:pPr>
        <w:pStyle w:val="ListParagraph"/>
        <w:numPr>
          <w:ilvl w:val="0"/>
          <w:numId w:val="11"/>
        </w:numPr>
        <w:rPr>
          <w:rFonts w:ascii="Arial" w:hAnsi="Arial" w:cs="Arial"/>
          <w:i/>
        </w:rPr>
      </w:pPr>
      <w:r w:rsidRPr="009975DD">
        <w:rPr>
          <w:rFonts w:ascii="Arial" w:hAnsi="Arial" w:cs="Arial"/>
          <w:i/>
        </w:rPr>
        <w:t xml:space="preserve">CHP is an unnecessary cost and risk of lock-in for plants which will be phased out. Any incinerators which it is necessary to operate after 2030 should, however, be CHP. </w:t>
      </w:r>
      <w:r w:rsidRPr="009975DD">
        <w:rPr>
          <w:rFonts w:ascii="Arial" w:hAnsi="Arial" w:cs="Arial"/>
          <w:b/>
          <w:i/>
        </w:rPr>
        <w:t xml:space="preserve">Public financing of CHP for incinerators should not be permissible for plants identified for phased out. </w:t>
      </w:r>
    </w:p>
    <w:p w14:paraId="1469A41C" w14:textId="77777777" w:rsidR="004B1A63" w:rsidRDefault="004B1A63" w:rsidP="004B1A63">
      <w:pPr>
        <w:rPr>
          <w:rFonts w:ascii="Arial" w:hAnsi="Arial" w:cs="Arial"/>
        </w:rPr>
      </w:pPr>
    </w:p>
    <w:p w14:paraId="56ED1D34" w14:textId="1C5666EE" w:rsidR="004B1A63" w:rsidRPr="007925B1" w:rsidRDefault="004B1A63" w:rsidP="004B1A63">
      <w:pPr>
        <w:pStyle w:val="ListParagraph"/>
        <w:numPr>
          <w:ilvl w:val="0"/>
          <w:numId w:val="11"/>
        </w:numPr>
        <w:rPr>
          <w:rFonts w:ascii="Arial" w:hAnsi="Arial" w:cs="Arial"/>
          <w:i/>
        </w:rPr>
      </w:pPr>
      <w:r w:rsidRPr="00CD482B">
        <w:rPr>
          <w:rFonts w:ascii="Arial" w:hAnsi="Arial" w:cs="Arial"/>
          <w:b/>
          <w:i/>
        </w:rPr>
        <w:t xml:space="preserve">CCS </w:t>
      </w:r>
      <w:r w:rsidR="00CD482B" w:rsidRPr="00CD482B">
        <w:rPr>
          <w:rFonts w:ascii="Arial" w:hAnsi="Arial" w:cs="Arial"/>
          <w:b/>
          <w:i/>
        </w:rPr>
        <w:t xml:space="preserve">is excluded </w:t>
      </w:r>
      <w:r w:rsidRPr="00CD482B">
        <w:rPr>
          <w:rFonts w:ascii="Arial" w:hAnsi="Arial" w:cs="Arial"/>
          <w:b/>
          <w:i/>
        </w:rPr>
        <w:t>as a viable solution</w:t>
      </w:r>
      <w:r w:rsidRPr="004B1A63">
        <w:rPr>
          <w:rFonts w:ascii="Arial" w:hAnsi="Arial" w:cs="Arial"/>
          <w:i/>
        </w:rPr>
        <w:t xml:space="preserve"> for reducing emissions from Scotland’s incinerators. </w:t>
      </w:r>
    </w:p>
    <w:sectPr w:rsidR="004B1A63" w:rsidRPr="007925B1" w:rsidSect="007359F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214B" w14:textId="77777777" w:rsidR="0065101A" w:rsidRDefault="0065101A" w:rsidP="0091094A">
      <w:r>
        <w:separator/>
      </w:r>
    </w:p>
  </w:endnote>
  <w:endnote w:type="continuationSeparator" w:id="0">
    <w:p w14:paraId="7527A726" w14:textId="77777777" w:rsidR="0065101A" w:rsidRDefault="0065101A" w:rsidP="009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486698"/>
      <w:docPartObj>
        <w:docPartGallery w:val="Page Numbers (Bottom of Page)"/>
        <w:docPartUnique/>
      </w:docPartObj>
    </w:sdtPr>
    <w:sdtEndPr>
      <w:rPr>
        <w:rStyle w:val="PageNumber"/>
      </w:rPr>
    </w:sdtEndPr>
    <w:sdtContent>
      <w:p w14:paraId="192DCCB7" w14:textId="77777777" w:rsidR="00190643" w:rsidRDefault="00190643" w:rsidP="00DC6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3470D" w14:textId="77777777" w:rsidR="00190643" w:rsidRDefault="00190643" w:rsidP="0091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410730"/>
      <w:docPartObj>
        <w:docPartGallery w:val="Page Numbers (Bottom of Page)"/>
        <w:docPartUnique/>
      </w:docPartObj>
    </w:sdtPr>
    <w:sdtEndPr>
      <w:rPr>
        <w:rStyle w:val="PageNumber"/>
      </w:rPr>
    </w:sdtEndPr>
    <w:sdtContent>
      <w:p w14:paraId="12B2B90F" w14:textId="77777777" w:rsidR="00190643" w:rsidRDefault="00190643" w:rsidP="00DC6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22D64" w14:textId="77777777" w:rsidR="00190643" w:rsidRDefault="00190643" w:rsidP="0091094A">
    <w:pPr>
      <w:pStyle w:val="Footer"/>
      <w:ind w:right="360"/>
    </w:pPr>
    <w:r>
      <w:t xml:space="preserve">Friends of the Earth Scotland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3EDEF" w14:textId="77777777" w:rsidR="0065101A" w:rsidRDefault="0065101A" w:rsidP="0091094A">
      <w:r>
        <w:separator/>
      </w:r>
    </w:p>
  </w:footnote>
  <w:footnote w:type="continuationSeparator" w:id="0">
    <w:p w14:paraId="4D21B8D8" w14:textId="77777777" w:rsidR="0065101A" w:rsidRDefault="0065101A" w:rsidP="0091094A">
      <w:r>
        <w:continuationSeparator/>
      </w:r>
    </w:p>
  </w:footnote>
  <w:footnote w:id="1">
    <w:p w14:paraId="1DB5E9E7" w14:textId="77777777" w:rsidR="00190643" w:rsidRDefault="00190643" w:rsidP="00F1624F">
      <w:pPr>
        <w:pStyle w:val="FootnoteText"/>
      </w:pPr>
      <w:r>
        <w:rPr>
          <w:rStyle w:val="FootnoteReference"/>
        </w:rPr>
        <w:footnoteRef/>
      </w:r>
      <w:r>
        <w:t xml:space="preserve"> A full copy of our response can be found on the Friends of the Earth Scotland website: </w:t>
      </w:r>
      <w:hyperlink r:id="rId1" w:history="1">
        <w:r w:rsidRPr="00567999">
          <w:rPr>
            <w:rStyle w:val="Hyperlink"/>
          </w:rPr>
          <w:t>https://foe.scot/resource/response-to-incineration-review/</w:t>
        </w:r>
      </w:hyperlink>
    </w:p>
  </w:footnote>
  <w:footnote w:id="2">
    <w:p w14:paraId="66DB1603" w14:textId="77777777" w:rsidR="00190643" w:rsidRDefault="00190643">
      <w:pPr>
        <w:pStyle w:val="FootnoteText"/>
      </w:pPr>
      <w:r>
        <w:rPr>
          <w:rStyle w:val="FootnoteReference"/>
        </w:rPr>
        <w:footnoteRef/>
      </w:r>
      <w:r>
        <w:t xml:space="preserve"> </w:t>
      </w:r>
      <w:hyperlink r:id="rId2" w:history="1">
        <w:r w:rsidRPr="001D34DB">
          <w:rPr>
            <w:rStyle w:val="Hyperlink"/>
          </w:rPr>
          <w:t>https://www.zerowastescotland.org.uk/content/climate-change-impact-burning-municipal-waste-scotland</w:t>
        </w:r>
      </w:hyperlink>
      <w:r>
        <w:t xml:space="preserve"> </w:t>
      </w:r>
    </w:p>
  </w:footnote>
  <w:footnote w:id="3">
    <w:p w14:paraId="7DE85BC9" w14:textId="77777777" w:rsidR="00190643" w:rsidRDefault="00190643">
      <w:pPr>
        <w:pStyle w:val="FootnoteText"/>
      </w:pPr>
      <w:r>
        <w:rPr>
          <w:rStyle w:val="FootnoteReference"/>
        </w:rPr>
        <w:footnoteRef/>
      </w:r>
      <w:r>
        <w:t xml:space="preserve"> CCC (2021) 6</w:t>
      </w:r>
      <w:r w:rsidRPr="00D13776">
        <w:rPr>
          <w:vertAlign w:val="superscript"/>
        </w:rPr>
        <w:t>th</w:t>
      </w:r>
      <w:r>
        <w:t xml:space="preserve"> Carbon Budget, Electricity Generation, p36 </w:t>
      </w:r>
      <w:hyperlink r:id="rId3" w:history="1">
        <w:r w:rsidRPr="0053194E">
          <w:rPr>
            <w:rStyle w:val="Hyperlink"/>
          </w:rPr>
          <w:t>https://www.theccc.org.uk/wp-content/uploads/2020/12/Sector-summary-Electricity-generation.pdf</w:t>
        </w:r>
      </w:hyperlink>
      <w:r>
        <w:t xml:space="preserve"> </w:t>
      </w:r>
    </w:p>
  </w:footnote>
  <w:footnote w:id="4">
    <w:p w14:paraId="56162109" w14:textId="77777777" w:rsidR="00190643" w:rsidRDefault="00190643">
      <w:pPr>
        <w:pStyle w:val="FootnoteText"/>
      </w:pPr>
      <w:r>
        <w:rPr>
          <w:rStyle w:val="FootnoteReference"/>
        </w:rPr>
        <w:footnoteRef/>
      </w:r>
      <w:r>
        <w:t xml:space="preserve"> Page 36 “</w:t>
      </w:r>
      <w:r w:rsidRPr="001B2813">
        <w:t>The carbon intensity of HOP1 is 325 gCO2/kWh. This is higher than the carbon intensity for heat generated from a central or small-scale natural gas plant for heat operating in the UK in</w:t>
      </w:r>
      <w:r>
        <w:t xml:space="preserve"> </w:t>
      </w:r>
      <w:r w:rsidRPr="001B2813">
        <w:t>2018,</w:t>
      </w:r>
      <w:r>
        <w:t xml:space="preserve"> </w:t>
      </w:r>
      <w:r w:rsidRPr="001B2813">
        <w:t>which</w:t>
      </w:r>
      <w:r>
        <w:t xml:space="preserve"> </w:t>
      </w:r>
      <w:r w:rsidRPr="001B2813">
        <w:t>is</w:t>
      </w:r>
      <w:r>
        <w:t xml:space="preserve"> </w:t>
      </w:r>
      <w:r w:rsidRPr="001B2813">
        <w:t>267</w:t>
      </w:r>
      <w:r>
        <w:t xml:space="preserve"> </w:t>
      </w:r>
      <w:r w:rsidRPr="001B2813">
        <w:t>gCO2/kWh</w:t>
      </w:r>
      <w:r>
        <w:t>.”</w:t>
      </w:r>
    </w:p>
  </w:footnote>
  <w:footnote w:id="5">
    <w:p w14:paraId="29FE2938" w14:textId="77777777" w:rsidR="00190643" w:rsidRDefault="00190643">
      <w:pPr>
        <w:pStyle w:val="FootnoteText"/>
      </w:pPr>
      <w:r>
        <w:rPr>
          <w:rStyle w:val="FootnoteReference"/>
        </w:rPr>
        <w:footnoteRef/>
      </w:r>
      <w:r>
        <w:t xml:space="preserve"> For example, Sevindik et al (2021) </w:t>
      </w:r>
      <w:hyperlink r:id="rId4" w:history="1">
        <w:r w:rsidRPr="00004804">
          <w:rPr>
            <w:rStyle w:val="Hyperlink"/>
          </w:rPr>
          <w:t>A Comparative Environmental Assessment of Heat Pumps and Gas Boilers towards a Circular Economy in the UK</w:t>
        </w:r>
      </w:hyperlink>
      <w:r>
        <w:t>, Energies, 14, 3027.</w:t>
      </w:r>
    </w:p>
  </w:footnote>
  <w:footnote w:id="6">
    <w:p w14:paraId="1D837222" w14:textId="0C55ED32" w:rsidR="00E80344" w:rsidRDefault="00E80344">
      <w:pPr>
        <w:pStyle w:val="FootnoteText"/>
      </w:pPr>
      <w:r>
        <w:rPr>
          <w:rStyle w:val="FootnoteReference"/>
        </w:rPr>
        <w:footnoteRef/>
      </w:r>
      <w:r>
        <w:t xml:space="preserve"> </w:t>
      </w:r>
      <w:hyperlink r:id="rId5" w:history="1">
        <w:r w:rsidRPr="007A0078">
          <w:rPr>
            <w:rStyle w:val="Hyperlink"/>
          </w:rPr>
          <w:t>https://www.zerowastescotland.org.uk/content/climate-change-impact-burning-municipal-waste-scotland</w:t>
        </w:r>
      </w:hyperlink>
      <w:r>
        <w:t xml:space="preserve"> </w:t>
      </w:r>
    </w:p>
  </w:footnote>
  <w:footnote w:id="7">
    <w:p w14:paraId="39947407" w14:textId="0A4DE659" w:rsidR="00190643" w:rsidRDefault="00190643">
      <w:pPr>
        <w:pStyle w:val="FootnoteText"/>
      </w:pPr>
      <w:r>
        <w:rPr>
          <w:rStyle w:val="FootnoteReference"/>
        </w:rPr>
        <w:footnoteRef/>
      </w:r>
      <w:r>
        <w:t xml:space="preserve"> </w:t>
      </w:r>
      <w:hyperlink r:id="rId6" w:history="1">
        <w:r w:rsidRPr="007A0078">
          <w:rPr>
            <w:rStyle w:val="Hyperlink"/>
          </w:rPr>
          <w:t>https://www.parliament.scot/chamber-and-committees/written-questions-and-answers/question?ref=S6W-10304</w:t>
        </w:r>
      </w:hyperlink>
      <w:r>
        <w:t xml:space="preserve"> </w:t>
      </w:r>
    </w:p>
  </w:footnote>
  <w:footnote w:id="8">
    <w:p w14:paraId="167FFFBF" w14:textId="77777777" w:rsidR="00190643" w:rsidRPr="000741F4" w:rsidRDefault="00190643">
      <w:pPr>
        <w:pStyle w:val="FootnoteText"/>
        <w:rPr>
          <w:rFonts w:ascii="Arial" w:hAnsi="Arial" w:cs="Arial"/>
        </w:rPr>
      </w:pPr>
      <w:r w:rsidRPr="000741F4">
        <w:rPr>
          <w:rStyle w:val="FootnoteReference"/>
          <w:rFonts w:ascii="Arial" w:hAnsi="Arial" w:cs="Arial"/>
        </w:rPr>
        <w:footnoteRef/>
      </w:r>
      <w:r w:rsidRPr="000741F4">
        <w:rPr>
          <w:rFonts w:ascii="Arial" w:hAnsi="Arial" w:cs="Arial"/>
        </w:rPr>
        <w:t xml:space="preserve"> More information on the limits of chemical recycling can be found in this Zero Waste Europe report: </w:t>
      </w:r>
      <w:hyperlink r:id="rId7" w:history="1">
        <w:r w:rsidRPr="000741F4">
          <w:rPr>
            <w:rStyle w:val="Hyperlink"/>
            <w:rFonts w:ascii="Arial" w:hAnsi="Arial" w:cs="Arial"/>
          </w:rPr>
          <w:t>https://zerowasteeurope.eu/library/el-dorado-of-chemical-recycling-state-of-play-and-policy-challenges/</w:t>
        </w:r>
      </w:hyperlink>
      <w:r w:rsidRPr="000741F4">
        <w:rPr>
          <w:rFonts w:ascii="Arial" w:hAnsi="Arial" w:cs="Arial"/>
        </w:rPr>
        <w:t xml:space="preserve"> </w:t>
      </w:r>
    </w:p>
  </w:footnote>
  <w:footnote w:id="9">
    <w:p w14:paraId="732061CB" w14:textId="5412FFC6" w:rsidR="00190643" w:rsidRPr="000741F4" w:rsidRDefault="00190643">
      <w:pPr>
        <w:pStyle w:val="FootnoteText"/>
        <w:rPr>
          <w:rFonts w:ascii="Arial" w:hAnsi="Arial" w:cs="Arial"/>
        </w:rPr>
      </w:pPr>
      <w:r w:rsidRPr="000741F4">
        <w:rPr>
          <w:rStyle w:val="FootnoteReference"/>
          <w:rFonts w:ascii="Arial" w:hAnsi="Arial" w:cs="Arial"/>
        </w:rPr>
        <w:footnoteRef/>
      </w:r>
      <w:r w:rsidRPr="000741F4">
        <w:rPr>
          <w:rFonts w:ascii="Arial" w:hAnsi="Arial" w:cs="Arial"/>
        </w:rPr>
        <w:t xml:space="preserve"> ZWE and Rethink Plastic alliance (2022) </w:t>
      </w:r>
      <w:hyperlink r:id="rId8" w:history="1">
        <w:r w:rsidRPr="000741F4">
          <w:rPr>
            <w:rStyle w:val="Hyperlink"/>
            <w:rFonts w:ascii="Arial" w:hAnsi="Arial" w:cs="Arial"/>
          </w:rPr>
          <w:t>Climate impact of pyrolysis of waste plastic packaging in comparison with reuse and mechanical recycling</w:t>
        </w:r>
      </w:hyperlink>
      <w:r w:rsidRPr="000741F4">
        <w:rPr>
          <w:rFonts w:ascii="Arial" w:hAnsi="Arial" w:cs="Arial"/>
        </w:rPr>
        <w:t xml:space="preserve"> </w:t>
      </w:r>
    </w:p>
  </w:footnote>
  <w:footnote w:id="10">
    <w:p w14:paraId="4782F0EB" w14:textId="77777777" w:rsidR="00190643" w:rsidRPr="000741F4" w:rsidRDefault="00190643">
      <w:pPr>
        <w:pStyle w:val="FootnoteText"/>
        <w:rPr>
          <w:rFonts w:ascii="Arial" w:hAnsi="Arial" w:cs="Arial"/>
        </w:rPr>
      </w:pPr>
      <w:r w:rsidRPr="000741F4">
        <w:rPr>
          <w:rStyle w:val="FootnoteReference"/>
          <w:rFonts w:ascii="Arial" w:hAnsi="Arial" w:cs="Arial"/>
        </w:rPr>
        <w:footnoteRef/>
      </w:r>
      <w:r w:rsidRPr="000741F4">
        <w:rPr>
          <w:rFonts w:ascii="Arial" w:hAnsi="Arial" w:cs="Arial"/>
        </w:rPr>
        <w:t xml:space="preserve"> It could be argued that this measure should be based on material intensity, not climate intensity. However, the risk of lock-in to recycling processes and the lack of an establish method for measuring the scale of lock-in impact on material demand means it would be difficult to establish a fair and complete approach for this. The method for measuring and comparing the direct carbon intensity of recycling processes is well established.</w:t>
      </w:r>
    </w:p>
  </w:footnote>
  <w:footnote w:id="11">
    <w:p w14:paraId="0561397F" w14:textId="77777777" w:rsidR="00190643" w:rsidRDefault="00190643">
      <w:pPr>
        <w:pStyle w:val="FootnoteText"/>
      </w:pPr>
      <w:r w:rsidRPr="000741F4">
        <w:rPr>
          <w:rStyle w:val="FootnoteReference"/>
          <w:rFonts w:ascii="Arial" w:hAnsi="Arial" w:cs="Arial"/>
        </w:rPr>
        <w:footnoteRef/>
      </w:r>
      <w:r w:rsidRPr="000741F4">
        <w:rPr>
          <w:rFonts w:ascii="Arial" w:hAnsi="Arial" w:cs="Arial"/>
        </w:rPr>
        <w:t xml:space="preserve"> Seto et al (2016) Carbon lock in: Types, causes, and policy implications </w:t>
      </w:r>
      <w:hyperlink r:id="rId9" w:history="1">
        <w:r w:rsidRPr="000741F4">
          <w:rPr>
            <w:rStyle w:val="Hyperlink"/>
            <w:rFonts w:ascii="Arial" w:hAnsi="Arial" w:cs="Arial"/>
          </w:rPr>
          <w:t>https://www.annualreviews.org/doi/pdf/10.1146/annurev-environ-110615-085934</w:t>
        </w:r>
      </w:hyperlink>
      <w:r>
        <w:t xml:space="preserve"> </w:t>
      </w:r>
    </w:p>
  </w:footnote>
  <w:footnote w:id="12">
    <w:p w14:paraId="7DE7739B" w14:textId="77777777" w:rsidR="00190643" w:rsidRDefault="00190643" w:rsidP="001F19DB">
      <w:pPr>
        <w:pStyle w:val="FootnoteText"/>
      </w:pPr>
      <w:r>
        <w:rPr>
          <w:rStyle w:val="FootnoteReference"/>
        </w:rPr>
        <w:footnoteRef/>
      </w:r>
      <w:r>
        <w:t xml:space="preserve"> Clean Energy Wire (2020) </w:t>
      </w:r>
      <w:hyperlink r:id="rId10" w:history="1">
        <w:r w:rsidRPr="00B0525B">
          <w:rPr>
            <w:rStyle w:val="Hyperlink"/>
          </w:rPr>
          <w:t>https://www.cleanenergywire.org/factsheets/spelling-out-coal-phase-out-germanys-exit-law-draft</w:t>
        </w:r>
      </w:hyperlink>
      <w:r>
        <w:t xml:space="preserve"> </w:t>
      </w:r>
    </w:p>
  </w:footnote>
  <w:footnote w:id="13">
    <w:p w14:paraId="334B0389" w14:textId="77777777" w:rsidR="00190643" w:rsidRDefault="00190643">
      <w:pPr>
        <w:pStyle w:val="FootnoteText"/>
      </w:pPr>
      <w:r>
        <w:rPr>
          <w:rStyle w:val="FootnoteReference"/>
        </w:rPr>
        <w:footnoteRef/>
      </w:r>
      <w:r>
        <w:t xml:space="preserve"> </w:t>
      </w:r>
      <w:hyperlink r:id="rId11" w:history="1">
        <w:r w:rsidRPr="00B0525B">
          <w:rPr>
            <w:rStyle w:val="Hyperlink"/>
          </w:rPr>
          <w:t>https://www.bmuv.de/en/topics/climate-adaptation/climate-protection/national-climate-policy/translate-to-english-fragen-und-antworten-zum-kohleausstieg-in-deutschland</w:t>
        </w:r>
      </w:hyperlink>
      <w:r>
        <w:t xml:space="preserve"> </w:t>
      </w:r>
    </w:p>
  </w:footnote>
  <w:footnote w:id="14">
    <w:p w14:paraId="5FD36CEB" w14:textId="77777777" w:rsidR="00190643" w:rsidRDefault="00190643">
      <w:pPr>
        <w:pStyle w:val="FootnoteText"/>
      </w:pPr>
      <w:r>
        <w:rPr>
          <w:rStyle w:val="FootnoteReference"/>
        </w:rPr>
        <w:footnoteRef/>
      </w:r>
      <w:r>
        <w:t xml:space="preserve"> </w:t>
      </w:r>
      <w:hyperlink r:id="rId12" w:history="1">
        <w:r w:rsidRPr="00CA1BA9">
          <w:rPr>
            <w:rStyle w:val="Hyperlink"/>
          </w:rPr>
          <w:t>https://www.jtp.scot/policy/call-for-just-transition-principles-to-be-applied-to-moves-towards-a-circular-economy/</w:t>
        </w:r>
      </w:hyperlink>
      <w:r>
        <w:t xml:space="preserve"> </w:t>
      </w:r>
    </w:p>
  </w:footnote>
  <w:footnote w:id="15">
    <w:p w14:paraId="4D065E85" w14:textId="77777777" w:rsidR="00190643" w:rsidRDefault="00190643">
      <w:pPr>
        <w:pStyle w:val="FootnoteText"/>
      </w:pPr>
      <w:r>
        <w:rPr>
          <w:rStyle w:val="FootnoteReference"/>
        </w:rPr>
        <w:footnoteRef/>
      </w:r>
      <w:r>
        <w:t xml:space="preserve"> Scottish Government (2022) </w:t>
      </w:r>
      <w:hyperlink r:id="rId13" w:history="1">
        <w:r w:rsidRPr="00C9683D">
          <w:rPr>
            <w:rStyle w:val="Hyperlink"/>
          </w:rPr>
          <w:t>Incineration Review</w:t>
        </w:r>
      </w:hyperlink>
      <w:r>
        <w:t xml:space="preserve"> Figure 2, page 23</w:t>
      </w:r>
    </w:p>
  </w:footnote>
  <w:footnote w:id="16">
    <w:p w14:paraId="0864E46B" w14:textId="77777777" w:rsidR="00190643" w:rsidRDefault="00190643">
      <w:pPr>
        <w:pStyle w:val="FootnoteText"/>
      </w:pPr>
      <w:r>
        <w:rPr>
          <w:rStyle w:val="FootnoteReference"/>
        </w:rPr>
        <w:footnoteRef/>
      </w:r>
      <w:r>
        <w:t xml:space="preserve"> </w:t>
      </w:r>
      <w:hyperlink r:id="rId14" w:history="1">
        <w:r w:rsidRPr="001D34DB">
          <w:rPr>
            <w:rStyle w:val="Hyperlink"/>
          </w:rPr>
          <w:t>https://www.zerowastescotland.org.uk/our-work/carbon-metric-publications</w:t>
        </w:r>
      </w:hyperlink>
      <w:r>
        <w:t xml:space="preserve"> </w:t>
      </w:r>
    </w:p>
  </w:footnote>
  <w:footnote w:id="17">
    <w:p w14:paraId="219B9705" w14:textId="77777777" w:rsidR="00190643" w:rsidRDefault="00190643">
      <w:pPr>
        <w:pStyle w:val="FootnoteText"/>
      </w:pPr>
      <w:r>
        <w:rPr>
          <w:rStyle w:val="FootnoteReference"/>
        </w:rPr>
        <w:footnoteRef/>
      </w:r>
      <w:r>
        <w:t xml:space="preserve"> Page 29</w:t>
      </w:r>
    </w:p>
  </w:footnote>
  <w:footnote w:id="18">
    <w:p w14:paraId="38DFEB0B" w14:textId="56AA13C6" w:rsidR="00190643" w:rsidRDefault="00190643">
      <w:pPr>
        <w:pStyle w:val="FootnoteText"/>
      </w:pPr>
      <w:r>
        <w:rPr>
          <w:rStyle w:val="FootnoteReference"/>
        </w:rPr>
        <w:footnoteRef/>
      </w:r>
      <w:r>
        <w:t xml:space="preserve"> It should be noted that whilst the process is a useful example, the unambitious timescales which do not adhere to scientific consensus are not. </w:t>
      </w:r>
    </w:p>
  </w:footnote>
  <w:footnote w:id="19">
    <w:p w14:paraId="2C052801" w14:textId="3781EB0A" w:rsidR="009E3E87" w:rsidRDefault="009E3E87">
      <w:pPr>
        <w:pStyle w:val="FootnoteText"/>
      </w:pPr>
      <w:r>
        <w:rPr>
          <w:rStyle w:val="FootnoteReference"/>
        </w:rPr>
        <w:footnoteRef/>
      </w:r>
      <w:r>
        <w:t xml:space="preserve"> </w:t>
      </w:r>
      <w:hyperlink r:id="rId15" w:history="1">
        <w:r w:rsidRPr="007A0078">
          <w:rPr>
            <w:rStyle w:val="Hyperlink"/>
          </w:rPr>
          <w:t>https://theferret.scot/rogues-gallery-climate-polluters-top-20-revealed/</w:t>
        </w:r>
      </w:hyperlink>
      <w:r>
        <w:t xml:space="preserve"> </w:t>
      </w:r>
    </w:p>
  </w:footnote>
  <w:footnote w:id="20">
    <w:p w14:paraId="68FD4C7E" w14:textId="77777777" w:rsidR="00190643" w:rsidRDefault="00190643">
      <w:pPr>
        <w:pStyle w:val="FootnoteText"/>
      </w:pPr>
      <w:r>
        <w:rPr>
          <w:rStyle w:val="FootnoteReference"/>
        </w:rPr>
        <w:footnoteRef/>
      </w:r>
      <w:r>
        <w:t xml:space="preserve"> FoES (2022) </w:t>
      </w:r>
      <w:hyperlink r:id="rId16" w:history="1">
        <w:r w:rsidRPr="00ED7647">
          <w:rPr>
            <w:rStyle w:val="Hyperlink"/>
          </w:rPr>
          <w:t>Incineration Review Response</w:t>
        </w:r>
      </w:hyperlink>
      <w:r>
        <w:t>, section 3.2</w:t>
      </w:r>
    </w:p>
  </w:footnote>
  <w:footnote w:id="21">
    <w:p w14:paraId="1923449F" w14:textId="2D5A7B09" w:rsidR="00D02C9E" w:rsidRDefault="00D02C9E">
      <w:pPr>
        <w:pStyle w:val="FootnoteText"/>
      </w:pPr>
      <w:r>
        <w:rPr>
          <w:rStyle w:val="FootnoteReference"/>
        </w:rPr>
        <w:footnoteRef/>
      </w:r>
      <w:r>
        <w:t xml:space="preserve"> Client Earth (2022) Plastics on trial: Briefing 4 </w:t>
      </w:r>
      <w:hyperlink r:id="rId17" w:history="1">
        <w:r w:rsidRPr="007A0078">
          <w:rPr>
            <w:rStyle w:val="Hyperlink"/>
          </w:rPr>
          <w:t>https://www.clientearth.org/latest/documents/plastics-on-trial-4-waste-disposal-recycling/</w:t>
        </w:r>
      </w:hyperlink>
      <w:r>
        <w:t xml:space="preserve"> </w:t>
      </w:r>
    </w:p>
  </w:footnote>
  <w:footnote w:id="22">
    <w:p w14:paraId="586C6805" w14:textId="77777777" w:rsidR="00190643" w:rsidRDefault="00190643" w:rsidP="00BF1125">
      <w:pPr>
        <w:pStyle w:val="FootnoteText"/>
      </w:pPr>
      <w:r>
        <w:rPr>
          <w:rStyle w:val="FootnoteReference"/>
        </w:rPr>
        <w:footnoteRef/>
      </w:r>
      <w:r>
        <w:t xml:space="preserve"> </w:t>
      </w:r>
      <w:hyperlink r:id="rId18" w:history="1">
        <w:r w:rsidRPr="001D34DB">
          <w:rPr>
            <w:rStyle w:val="Hyperlink"/>
          </w:rPr>
          <w:t>https://www.reloopplatform.org/wp-content/uploads/2022/06/D-HOGG-_Reloop_FINAL_June2022-1.pdf</w:t>
        </w:r>
      </w:hyperlink>
      <w:r>
        <w:t xml:space="preserve"> </w:t>
      </w:r>
    </w:p>
  </w:footnote>
  <w:footnote w:id="23">
    <w:p w14:paraId="51DF7762" w14:textId="77777777" w:rsidR="00190643" w:rsidRDefault="00190643" w:rsidP="00B2065C">
      <w:pPr>
        <w:pStyle w:val="FootnoteText"/>
      </w:pPr>
      <w:r>
        <w:rPr>
          <w:rStyle w:val="FootnoteReference"/>
        </w:rPr>
        <w:footnoteRef/>
      </w:r>
      <w:r>
        <w:t xml:space="preserve"> </w:t>
      </w:r>
      <w:hyperlink r:id="rId19" w:history="1">
        <w:r w:rsidRPr="001D34DB">
          <w:rPr>
            <w:rStyle w:val="Hyperlink"/>
          </w:rPr>
          <w:t>https://zerowasteeurope.eu/press-release/zero-waste-europe-approves-parliament-resolutions-on-red-iii/</w:t>
        </w:r>
      </w:hyperlink>
      <w:r>
        <w:t xml:space="preserve"> </w:t>
      </w:r>
    </w:p>
  </w:footnote>
  <w:footnote w:id="24">
    <w:p w14:paraId="04F3D634" w14:textId="77777777" w:rsidR="00190643" w:rsidRDefault="00190643">
      <w:pPr>
        <w:pStyle w:val="FootnoteText"/>
      </w:pPr>
      <w:r>
        <w:rPr>
          <w:rStyle w:val="FootnoteReference"/>
        </w:rPr>
        <w:footnoteRef/>
      </w:r>
      <w:r>
        <w:t xml:space="preserve"> </w:t>
      </w:r>
      <w:hyperlink r:id="rId20" w:history="1">
        <w:r w:rsidRPr="00B0525B">
          <w:rPr>
            <w:rStyle w:val="Hyperlink"/>
          </w:rPr>
          <w:t>https://www.gov.scot/publications/consultation-delivering-scotlands-circular-economy-route-map-2025-beyond/</w:t>
        </w:r>
      </w:hyperlink>
      <w:r>
        <w:t xml:space="preserve"> </w:t>
      </w:r>
    </w:p>
  </w:footnote>
  <w:footnote w:id="25">
    <w:p w14:paraId="196D3613" w14:textId="77777777" w:rsidR="00190643" w:rsidRDefault="00190643">
      <w:pPr>
        <w:pStyle w:val="FootnoteText"/>
      </w:pPr>
      <w:r>
        <w:rPr>
          <w:rStyle w:val="FootnoteReference"/>
        </w:rPr>
        <w:footnoteRef/>
      </w:r>
      <w:r>
        <w:t xml:space="preserve"> </w:t>
      </w:r>
      <w:hyperlink r:id="rId21" w:history="1">
        <w:r w:rsidRPr="00B0525B">
          <w:rPr>
            <w:rStyle w:val="Hyperlink"/>
          </w:rPr>
          <w:t>https://www.unep.org/news-and-stories/press-release/historic-day-campaign-beat-plastic-pollution-nations-commit-develop</w:t>
        </w:r>
      </w:hyperlink>
      <w:r>
        <w:t xml:space="preserve"> </w:t>
      </w:r>
    </w:p>
  </w:footnote>
  <w:footnote w:id="26">
    <w:p w14:paraId="0DC03EB0" w14:textId="77777777" w:rsidR="00190643" w:rsidRDefault="00190643">
      <w:pPr>
        <w:pStyle w:val="FootnoteText"/>
      </w:pPr>
      <w:r>
        <w:rPr>
          <w:rStyle w:val="FootnoteReference"/>
        </w:rPr>
        <w:footnoteRef/>
      </w:r>
      <w:r>
        <w:t xml:space="preserve"> For example, the stakeholder session held on 30</w:t>
      </w:r>
      <w:r w:rsidRPr="00404EC3">
        <w:rPr>
          <w:vertAlign w:val="superscript"/>
        </w:rPr>
        <w:t>th</w:t>
      </w:r>
      <w:r>
        <w:t xml:space="preserve"> August</w:t>
      </w:r>
    </w:p>
  </w:footnote>
  <w:footnote w:id="27">
    <w:p w14:paraId="233199DD" w14:textId="77777777" w:rsidR="00190643" w:rsidRDefault="00190643">
      <w:pPr>
        <w:pStyle w:val="FootnoteText"/>
      </w:pPr>
      <w:r>
        <w:rPr>
          <w:rStyle w:val="FootnoteReference"/>
        </w:rPr>
        <w:footnoteRef/>
      </w:r>
      <w:r>
        <w:t xml:space="preserve"> </w:t>
      </w:r>
      <w:hyperlink r:id="rId22" w:history="1">
        <w:r w:rsidRPr="00CA1BA9">
          <w:rPr>
            <w:rStyle w:val="Hyperlink"/>
          </w:rPr>
          <w:t>https://www.zerowastescotland.org.uk/sites/default/files/The%20climate%20change%20impact%20of%20burning%20municipal%20waste%20in%20Scotland%20Technical%20Report%20July%202021.pdf</w:t>
        </w:r>
      </w:hyperlink>
      <w:r>
        <w:t xml:space="preserve"> Figure 15</w:t>
      </w:r>
    </w:p>
  </w:footnote>
  <w:footnote w:id="28">
    <w:p w14:paraId="40E88867" w14:textId="77777777" w:rsidR="00190643" w:rsidRDefault="00190643">
      <w:pPr>
        <w:pStyle w:val="FootnoteText"/>
      </w:pPr>
      <w:r>
        <w:rPr>
          <w:rStyle w:val="FootnoteReference"/>
        </w:rPr>
        <w:footnoteRef/>
      </w:r>
      <w:r>
        <w:t xml:space="preserve"> </w:t>
      </w:r>
      <w:hyperlink r:id="rId23" w:history="1">
        <w:r w:rsidRPr="00CA1BA9">
          <w:rPr>
            <w:rStyle w:val="Hyperlink"/>
          </w:rPr>
          <w:t>https://www.aberdeencity.gov.uk/news/work-starts-next-week-heat-network-provide-low-cost-energy-homes-torry</w:t>
        </w:r>
      </w:hyperlink>
      <w:r>
        <w:t xml:space="preserve"> </w:t>
      </w:r>
    </w:p>
  </w:footnote>
  <w:footnote w:id="29">
    <w:p w14:paraId="33C5BE72" w14:textId="77777777" w:rsidR="00190643" w:rsidRDefault="00190643">
      <w:pPr>
        <w:pStyle w:val="FootnoteText"/>
      </w:pPr>
      <w:r>
        <w:rPr>
          <w:rStyle w:val="FootnoteReference"/>
        </w:rPr>
        <w:footnoteRef/>
      </w:r>
      <w:r>
        <w:t xml:space="preserve"> </w:t>
      </w:r>
      <w:hyperlink r:id="rId24" w:history="1">
        <w:r w:rsidRPr="00CA1BA9">
          <w:rPr>
            <w:rStyle w:val="Hyperlink"/>
          </w:rPr>
          <w:t>https://www.aberdeencity.gov.uk/news/scottish-government-grant-awarded-second-phase-torry-heat-network</w:t>
        </w:r>
      </w:hyperlink>
      <w:r>
        <w:t xml:space="preserve"> </w:t>
      </w:r>
    </w:p>
  </w:footnote>
  <w:footnote w:id="30">
    <w:p w14:paraId="4427EBE3" w14:textId="77777777" w:rsidR="00190643" w:rsidRDefault="00190643">
      <w:pPr>
        <w:pStyle w:val="FootnoteText"/>
      </w:pPr>
      <w:r>
        <w:rPr>
          <w:rStyle w:val="FootnoteReference"/>
        </w:rPr>
        <w:footnoteRef/>
      </w:r>
      <w:r>
        <w:t xml:space="preserve"> </w:t>
      </w:r>
      <w:hyperlink r:id="rId25" w:history="1">
        <w:r w:rsidRPr="00CA1BA9">
          <w:rPr>
            <w:rStyle w:val="Hyperlink"/>
          </w:rPr>
          <w:t>https://www.aberdeencity.gov.uk/ness-energy-project/sepa-permit-application</w:t>
        </w:r>
      </w:hyperlink>
      <w:r>
        <w:t xml:space="preserve"> Heat and Power Plan, page 21, Table 8</w:t>
      </w:r>
    </w:p>
  </w:footnote>
  <w:footnote w:id="31">
    <w:p w14:paraId="4A914073" w14:textId="77777777" w:rsidR="00190643" w:rsidRDefault="00190643">
      <w:pPr>
        <w:pStyle w:val="FootnoteText"/>
      </w:pPr>
      <w:r>
        <w:rPr>
          <w:rStyle w:val="FootnoteReference"/>
        </w:rPr>
        <w:footnoteRef/>
      </w:r>
      <w:r>
        <w:t xml:space="preserve"> </w:t>
      </w:r>
      <w:hyperlink r:id="rId26" w:history="1">
        <w:r w:rsidRPr="00CA1BA9">
          <w:rPr>
            <w:rStyle w:val="Hyperlink"/>
          </w:rPr>
          <w:t>https://news.stv.tv/scotland/scotland-tonight-could-burning-rubbish-be-the-solution-to-soaring-energy-bills</w:t>
        </w:r>
      </w:hyperlink>
      <w:r>
        <w:t xml:space="preserve"> </w:t>
      </w:r>
    </w:p>
  </w:footnote>
  <w:footnote w:id="32">
    <w:p w14:paraId="41626594" w14:textId="77777777" w:rsidR="00190643" w:rsidRDefault="00190643">
      <w:pPr>
        <w:pStyle w:val="FootnoteText"/>
      </w:pPr>
      <w:r>
        <w:rPr>
          <w:rStyle w:val="FootnoteReference"/>
        </w:rPr>
        <w:footnoteRef/>
      </w:r>
      <w:r>
        <w:t xml:space="preserve"> See section 3.6 of </w:t>
      </w:r>
      <w:hyperlink r:id="rId27" w:history="1">
        <w:r w:rsidRPr="00641FAC">
          <w:rPr>
            <w:rStyle w:val="Hyperlink"/>
          </w:rPr>
          <w:t>FoES original response</w:t>
        </w:r>
      </w:hyperlink>
      <w:r>
        <w:t xml:space="preserve"> </w:t>
      </w:r>
    </w:p>
  </w:footnote>
  <w:footnote w:id="33">
    <w:p w14:paraId="76DFA485" w14:textId="77777777" w:rsidR="00190643" w:rsidRDefault="00190643">
      <w:pPr>
        <w:pStyle w:val="FootnoteText"/>
      </w:pPr>
      <w:r>
        <w:rPr>
          <w:rStyle w:val="FootnoteReference"/>
        </w:rPr>
        <w:footnoteRef/>
      </w:r>
      <w:r>
        <w:t xml:space="preserve"> </w:t>
      </w:r>
      <w:hyperlink r:id="rId28" w:history="1">
        <w:r w:rsidRPr="00CA1BA9">
          <w:rPr>
            <w:rStyle w:val="Hyperlink"/>
          </w:rPr>
          <w:t>https://www.viridor.co.uk/our-ambition/decarbonisation/</w:t>
        </w:r>
      </w:hyperlink>
      <w:r>
        <w:t xml:space="preserve"> Step 3. Carbon capture</w:t>
      </w:r>
    </w:p>
  </w:footnote>
  <w:footnote w:id="34">
    <w:p w14:paraId="7CB786A3" w14:textId="77777777" w:rsidR="00190643" w:rsidRDefault="00190643">
      <w:pPr>
        <w:pStyle w:val="FootnoteText"/>
      </w:pPr>
      <w:r>
        <w:rPr>
          <w:rStyle w:val="FootnoteReference"/>
        </w:rPr>
        <w:footnoteRef/>
      </w:r>
      <w:r>
        <w:t xml:space="preserve"> Eunomia (2021) </w:t>
      </w:r>
      <w:hyperlink r:id="rId29" w:history="1">
        <w:r w:rsidRPr="00CA1BA9">
          <w:rPr>
            <w:rStyle w:val="Hyperlink"/>
          </w:rPr>
          <w:t>https://prod-cms.viridor.co.uk/media/zyzmtjv0/eunomia-report-ccus.pdf</w:t>
        </w:r>
      </w:hyperlink>
      <w:r>
        <w:t xml:space="preserve"> Page 27, Table 5.2</w:t>
      </w:r>
    </w:p>
  </w:footnote>
  <w:footnote w:id="35">
    <w:p w14:paraId="27B51307" w14:textId="77777777" w:rsidR="00190643" w:rsidRPr="00BB7BEF" w:rsidRDefault="00190643">
      <w:pPr>
        <w:pStyle w:val="FootnoteText"/>
        <w:rPr>
          <w:b/>
        </w:rPr>
      </w:pPr>
      <w:r>
        <w:rPr>
          <w:rStyle w:val="FootnoteReference"/>
        </w:rPr>
        <w:footnoteRef/>
      </w:r>
      <w:r>
        <w:t xml:space="preserve"> </w:t>
      </w:r>
      <w:hyperlink r:id="rId30" w:history="1">
        <w:r w:rsidRPr="00CA1BA9">
          <w:rPr>
            <w:rStyle w:val="Hyperlink"/>
          </w:rPr>
          <w:t>https://www.gov.uk/government/publications/cluster-sequencing-for-carbon-capture-usage-and-storage-ccus-deployment-phase-1-expressions-of-interest/october-2021-update-track-1-clusters-confirmed</w:t>
        </w:r>
      </w:hyperlink>
      <w:r>
        <w:t xml:space="preserve"> </w:t>
      </w:r>
    </w:p>
  </w:footnote>
  <w:footnote w:id="36">
    <w:p w14:paraId="68A7B81A" w14:textId="77777777" w:rsidR="00190643" w:rsidRDefault="00190643">
      <w:pPr>
        <w:pStyle w:val="FootnoteText"/>
      </w:pPr>
      <w:r>
        <w:rPr>
          <w:rStyle w:val="FootnoteReference"/>
        </w:rPr>
        <w:footnoteRef/>
      </w:r>
      <w:r>
        <w:t xml:space="preserve"> </w:t>
      </w:r>
      <w:hyperlink r:id="rId31" w:history="1">
        <w:r w:rsidRPr="00CA1BA9">
          <w:rPr>
            <w:rStyle w:val="Hyperlink"/>
          </w:rPr>
          <w:t>https://www.thescottishcluster.co.uk</w:t>
        </w:r>
      </w:hyperlink>
      <w:r>
        <w:t xml:space="preserve"> </w:t>
      </w:r>
    </w:p>
  </w:footnote>
  <w:footnote w:id="37">
    <w:p w14:paraId="054E9F01" w14:textId="77777777" w:rsidR="00190643" w:rsidRDefault="00190643">
      <w:pPr>
        <w:pStyle w:val="FootnoteText"/>
      </w:pPr>
      <w:r>
        <w:rPr>
          <w:rStyle w:val="FootnoteReference"/>
        </w:rPr>
        <w:footnoteRef/>
      </w:r>
      <w:r>
        <w:t xml:space="preserve"> </w:t>
      </w:r>
      <w:hyperlink r:id="rId32" w:history="1">
        <w:r w:rsidRPr="00CA1BA9">
          <w:rPr>
            <w:rStyle w:val="Hyperlink"/>
          </w:rPr>
          <w:t>https://ieefa.org/resources/carbon-capture-remains-risky-investment-achieving-decarbonisation</w:t>
        </w:r>
      </w:hyperlink>
      <w:r>
        <w:t xml:space="preserve"> </w:t>
      </w:r>
    </w:p>
  </w:footnote>
  <w:footnote w:id="38">
    <w:p w14:paraId="3436AFDF" w14:textId="77777777" w:rsidR="00190643" w:rsidRDefault="00190643">
      <w:pPr>
        <w:pStyle w:val="FootnoteText"/>
      </w:pPr>
      <w:r>
        <w:rPr>
          <w:rStyle w:val="FootnoteReference"/>
        </w:rPr>
        <w:footnoteRef/>
      </w:r>
      <w:r>
        <w:t xml:space="preserve"> </w:t>
      </w:r>
      <w:hyperlink r:id="rId33" w:history="1">
        <w:r w:rsidRPr="00CA1BA9">
          <w:rPr>
            <w:rStyle w:val="Hyperlink"/>
          </w:rPr>
          <w:t>https://www.climatechangenews.com/2022/09/16/copenhagens-failure-to-meet-2025-net-zero-target-casts-doubt-on-other-city-pledges/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724"/>
    <w:multiLevelType w:val="hybridMultilevel"/>
    <w:tmpl w:val="B9F45054"/>
    <w:lvl w:ilvl="0" w:tplc="967E0706">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0A5332"/>
    <w:multiLevelType w:val="hybridMultilevel"/>
    <w:tmpl w:val="9B34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474FA"/>
    <w:multiLevelType w:val="hybridMultilevel"/>
    <w:tmpl w:val="E48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45CDF"/>
    <w:multiLevelType w:val="hybridMultilevel"/>
    <w:tmpl w:val="50FC2A3C"/>
    <w:lvl w:ilvl="0" w:tplc="967E0706">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F74B1"/>
    <w:multiLevelType w:val="hybridMultilevel"/>
    <w:tmpl w:val="EE2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8502F"/>
    <w:multiLevelType w:val="hybridMultilevel"/>
    <w:tmpl w:val="9E6C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5094B"/>
    <w:multiLevelType w:val="hybridMultilevel"/>
    <w:tmpl w:val="52E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53969"/>
    <w:multiLevelType w:val="hybridMultilevel"/>
    <w:tmpl w:val="5CE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A0838"/>
    <w:multiLevelType w:val="hybridMultilevel"/>
    <w:tmpl w:val="156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54F86"/>
    <w:multiLevelType w:val="hybridMultilevel"/>
    <w:tmpl w:val="AABA54B4"/>
    <w:lvl w:ilvl="0" w:tplc="CD7C83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E2E24"/>
    <w:multiLevelType w:val="hybridMultilevel"/>
    <w:tmpl w:val="A3568DA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15:restartNumberingAfterBreak="0">
    <w:nsid w:val="67836472"/>
    <w:multiLevelType w:val="hybridMultilevel"/>
    <w:tmpl w:val="402E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9"/>
  </w:num>
  <w:num w:numId="6">
    <w:abstractNumId w:val="8"/>
  </w:num>
  <w:num w:numId="7">
    <w:abstractNumId w:val="6"/>
  </w:num>
  <w:num w:numId="8">
    <w:abstractNumId w:val="11"/>
  </w:num>
  <w:num w:numId="9">
    <w:abstractNumId w:val="1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E8"/>
    <w:rsid w:val="0000387A"/>
    <w:rsid w:val="00004804"/>
    <w:rsid w:val="0000498B"/>
    <w:rsid w:val="000112D2"/>
    <w:rsid w:val="00027C6E"/>
    <w:rsid w:val="00033FD8"/>
    <w:rsid w:val="00040C8F"/>
    <w:rsid w:val="00065269"/>
    <w:rsid w:val="000741F4"/>
    <w:rsid w:val="00077E48"/>
    <w:rsid w:val="00082868"/>
    <w:rsid w:val="00093879"/>
    <w:rsid w:val="000949C3"/>
    <w:rsid w:val="000B231A"/>
    <w:rsid w:val="000B453D"/>
    <w:rsid w:val="000C04F2"/>
    <w:rsid w:val="000C2A55"/>
    <w:rsid w:val="000D49F8"/>
    <w:rsid w:val="000D5EF1"/>
    <w:rsid w:val="000E6A84"/>
    <w:rsid w:val="000F29D2"/>
    <w:rsid w:val="0012128D"/>
    <w:rsid w:val="0012613B"/>
    <w:rsid w:val="001277A9"/>
    <w:rsid w:val="00130124"/>
    <w:rsid w:val="001446D6"/>
    <w:rsid w:val="001718ED"/>
    <w:rsid w:val="00190643"/>
    <w:rsid w:val="00197CFB"/>
    <w:rsid w:val="001B2813"/>
    <w:rsid w:val="001C144C"/>
    <w:rsid w:val="001C19E0"/>
    <w:rsid w:val="001D047E"/>
    <w:rsid w:val="001D6545"/>
    <w:rsid w:val="001E7D7D"/>
    <w:rsid w:val="001F19DB"/>
    <w:rsid w:val="00210609"/>
    <w:rsid w:val="00212849"/>
    <w:rsid w:val="002445CF"/>
    <w:rsid w:val="00265872"/>
    <w:rsid w:val="002676C8"/>
    <w:rsid w:val="0028112C"/>
    <w:rsid w:val="002B0D30"/>
    <w:rsid w:val="002F3100"/>
    <w:rsid w:val="00306B27"/>
    <w:rsid w:val="0030730D"/>
    <w:rsid w:val="003179E1"/>
    <w:rsid w:val="0032533D"/>
    <w:rsid w:val="0034133F"/>
    <w:rsid w:val="00347E63"/>
    <w:rsid w:val="003509CE"/>
    <w:rsid w:val="00362F0E"/>
    <w:rsid w:val="00366CDE"/>
    <w:rsid w:val="003721EE"/>
    <w:rsid w:val="003826EE"/>
    <w:rsid w:val="003A53B2"/>
    <w:rsid w:val="003E233E"/>
    <w:rsid w:val="003E7DC2"/>
    <w:rsid w:val="004024F8"/>
    <w:rsid w:val="00404EC3"/>
    <w:rsid w:val="00406080"/>
    <w:rsid w:val="00424CC2"/>
    <w:rsid w:val="0042621D"/>
    <w:rsid w:val="004410EA"/>
    <w:rsid w:val="00444136"/>
    <w:rsid w:val="00461C77"/>
    <w:rsid w:val="00486762"/>
    <w:rsid w:val="004A1783"/>
    <w:rsid w:val="004B1A63"/>
    <w:rsid w:val="004C3212"/>
    <w:rsid w:val="004F32CC"/>
    <w:rsid w:val="00500B41"/>
    <w:rsid w:val="00516301"/>
    <w:rsid w:val="005617C0"/>
    <w:rsid w:val="00566F31"/>
    <w:rsid w:val="00591AE0"/>
    <w:rsid w:val="00591AE7"/>
    <w:rsid w:val="005A3AB0"/>
    <w:rsid w:val="005B445A"/>
    <w:rsid w:val="005C2B95"/>
    <w:rsid w:val="00623B81"/>
    <w:rsid w:val="0063130C"/>
    <w:rsid w:val="00641FAC"/>
    <w:rsid w:val="0065101A"/>
    <w:rsid w:val="006A057D"/>
    <w:rsid w:val="006D5F2D"/>
    <w:rsid w:val="007034EF"/>
    <w:rsid w:val="00721E9A"/>
    <w:rsid w:val="00727839"/>
    <w:rsid w:val="007359FE"/>
    <w:rsid w:val="007360B8"/>
    <w:rsid w:val="00781D27"/>
    <w:rsid w:val="007925B1"/>
    <w:rsid w:val="007953C7"/>
    <w:rsid w:val="00807150"/>
    <w:rsid w:val="008153FB"/>
    <w:rsid w:val="00837048"/>
    <w:rsid w:val="00837975"/>
    <w:rsid w:val="00847BD6"/>
    <w:rsid w:val="008503A2"/>
    <w:rsid w:val="00884B43"/>
    <w:rsid w:val="008B0603"/>
    <w:rsid w:val="008B6C44"/>
    <w:rsid w:val="008E11FA"/>
    <w:rsid w:val="008E38CA"/>
    <w:rsid w:val="008E3F72"/>
    <w:rsid w:val="008E61A1"/>
    <w:rsid w:val="008F4B18"/>
    <w:rsid w:val="009040A5"/>
    <w:rsid w:val="00906D83"/>
    <w:rsid w:val="00907532"/>
    <w:rsid w:val="0091094A"/>
    <w:rsid w:val="00945058"/>
    <w:rsid w:val="0094688D"/>
    <w:rsid w:val="00994CA5"/>
    <w:rsid w:val="009975DD"/>
    <w:rsid w:val="009A2D3B"/>
    <w:rsid w:val="009A6D1F"/>
    <w:rsid w:val="009B6E0D"/>
    <w:rsid w:val="009C2384"/>
    <w:rsid w:val="009D3423"/>
    <w:rsid w:val="009E3E87"/>
    <w:rsid w:val="00A02BE4"/>
    <w:rsid w:val="00A174B3"/>
    <w:rsid w:val="00A27FE3"/>
    <w:rsid w:val="00A8677B"/>
    <w:rsid w:val="00A92E42"/>
    <w:rsid w:val="00AD07E4"/>
    <w:rsid w:val="00AD77D1"/>
    <w:rsid w:val="00AE3A6C"/>
    <w:rsid w:val="00B02634"/>
    <w:rsid w:val="00B2065C"/>
    <w:rsid w:val="00B34E42"/>
    <w:rsid w:val="00B446DE"/>
    <w:rsid w:val="00B549F5"/>
    <w:rsid w:val="00B55C96"/>
    <w:rsid w:val="00B73C7C"/>
    <w:rsid w:val="00B83368"/>
    <w:rsid w:val="00B90FE8"/>
    <w:rsid w:val="00BB0641"/>
    <w:rsid w:val="00BB1AEA"/>
    <w:rsid w:val="00BB7BEF"/>
    <w:rsid w:val="00BB7D28"/>
    <w:rsid w:val="00BC184C"/>
    <w:rsid w:val="00BF1125"/>
    <w:rsid w:val="00BF6C1C"/>
    <w:rsid w:val="00C00B1D"/>
    <w:rsid w:val="00C040C8"/>
    <w:rsid w:val="00C2010D"/>
    <w:rsid w:val="00C65C6A"/>
    <w:rsid w:val="00C9683D"/>
    <w:rsid w:val="00CB26B1"/>
    <w:rsid w:val="00CB3A07"/>
    <w:rsid w:val="00CB71FF"/>
    <w:rsid w:val="00CD482B"/>
    <w:rsid w:val="00CF460D"/>
    <w:rsid w:val="00D02C9E"/>
    <w:rsid w:val="00D13231"/>
    <w:rsid w:val="00D13776"/>
    <w:rsid w:val="00D331A8"/>
    <w:rsid w:val="00D34360"/>
    <w:rsid w:val="00D4789B"/>
    <w:rsid w:val="00D674FD"/>
    <w:rsid w:val="00D72F30"/>
    <w:rsid w:val="00D73906"/>
    <w:rsid w:val="00D80877"/>
    <w:rsid w:val="00DA1DD5"/>
    <w:rsid w:val="00DC3DAD"/>
    <w:rsid w:val="00DC6924"/>
    <w:rsid w:val="00DD598E"/>
    <w:rsid w:val="00E000D8"/>
    <w:rsid w:val="00E16212"/>
    <w:rsid w:val="00E259E1"/>
    <w:rsid w:val="00E46EC0"/>
    <w:rsid w:val="00E80344"/>
    <w:rsid w:val="00E93C29"/>
    <w:rsid w:val="00EA1711"/>
    <w:rsid w:val="00EB765C"/>
    <w:rsid w:val="00EC5E34"/>
    <w:rsid w:val="00ED1FC1"/>
    <w:rsid w:val="00ED7647"/>
    <w:rsid w:val="00EE6158"/>
    <w:rsid w:val="00F1444D"/>
    <w:rsid w:val="00F1624F"/>
    <w:rsid w:val="00F2260E"/>
    <w:rsid w:val="00F50066"/>
    <w:rsid w:val="00F67851"/>
    <w:rsid w:val="00F67B5F"/>
    <w:rsid w:val="00F967FA"/>
    <w:rsid w:val="00FA41FA"/>
    <w:rsid w:val="00FA5E48"/>
    <w:rsid w:val="00FA6DFB"/>
    <w:rsid w:val="00FB2AE8"/>
    <w:rsid w:val="00FC290A"/>
    <w:rsid w:val="00FC4B4B"/>
    <w:rsid w:val="00FD0882"/>
    <w:rsid w:val="00FE4062"/>
    <w:rsid w:val="00FE446B"/>
    <w:rsid w:val="00FE4C5A"/>
    <w:rsid w:val="00FF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D74E"/>
  <w15:chartTrackingRefBased/>
  <w15:docId w15:val="{BB588F89-6237-A449-BB3E-9C8998F3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AE8"/>
  </w:style>
  <w:style w:type="paragraph" w:styleId="Heading1">
    <w:name w:val="heading 1"/>
    <w:basedOn w:val="Normal"/>
    <w:next w:val="Normal"/>
    <w:link w:val="Heading1Char"/>
    <w:uiPriority w:val="9"/>
    <w:qFormat/>
    <w:rsid w:val="0091094A"/>
    <w:pPr>
      <w:keepNext/>
      <w:keepLines/>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362F0E"/>
    <w:pPr>
      <w:keepNext/>
      <w:keepLines/>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4A"/>
    <w:pPr>
      <w:ind w:left="720"/>
      <w:contextualSpacing/>
    </w:pPr>
  </w:style>
  <w:style w:type="character" w:styleId="Hyperlink">
    <w:name w:val="Hyperlink"/>
    <w:basedOn w:val="DefaultParagraphFont"/>
    <w:uiPriority w:val="99"/>
    <w:unhideWhenUsed/>
    <w:rsid w:val="0091094A"/>
    <w:rPr>
      <w:color w:val="0563C1" w:themeColor="hyperlink"/>
      <w:u w:val="single"/>
    </w:rPr>
  </w:style>
  <w:style w:type="character" w:styleId="UnresolvedMention">
    <w:name w:val="Unresolved Mention"/>
    <w:basedOn w:val="DefaultParagraphFont"/>
    <w:uiPriority w:val="99"/>
    <w:semiHidden/>
    <w:unhideWhenUsed/>
    <w:rsid w:val="0091094A"/>
    <w:rPr>
      <w:color w:val="605E5C"/>
      <w:shd w:val="clear" w:color="auto" w:fill="E1DFDD"/>
    </w:rPr>
  </w:style>
  <w:style w:type="paragraph" w:styleId="Header">
    <w:name w:val="header"/>
    <w:basedOn w:val="Normal"/>
    <w:link w:val="HeaderChar"/>
    <w:uiPriority w:val="99"/>
    <w:unhideWhenUsed/>
    <w:rsid w:val="0091094A"/>
    <w:pPr>
      <w:tabs>
        <w:tab w:val="center" w:pos="4680"/>
        <w:tab w:val="right" w:pos="9360"/>
      </w:tabs>
    </w:pPr>
  </w:style>
  <w:style w:type="character" w:customStyle="1" w:styleId="HeaderChar">
    <w:name w:val="Header Char"/>
    <w:basedOn w:val="DefaultParagraphFont"/>
    <w:link w:val="Header"/>
    <w:uiPriority w:val="99"/>
    <w:rsid w:val="0091094A"/>
  </w:style>
  <w:style w:type="paragraph" w:styleId="Footer">
    <w:name w:val="footer"/>
    <w:basedOn w:val="Normal"/>
    <w:link w:val="FooterChar"/>
    <w:uiPriority w:val="99"/>
    <w:unhideWhenUsed/>
    <w:rsid w:val="0091094A"/>
    <w:pPr>
      <w:tabs>
        <w:tab w:val="center" w:pos="4680"/>
        <w:tab w:val="right" w:pos="9360"/>
      </w:tabs>
    </w:pPr>
  </w:style>
  <w:style w:type="character" w:customStyle="1" w:styleId="FooterChar">
    <w:name w:val="Footer Char"/>
    <w:basedOn w:val="DefaultParagraphFont"/>
    <w:link w:val="Footer"/>
    <w:uiPriority w:val="99"/>
    <w:rsid w:val="0091094A"/>
  </w:style>
  <w:style w:type="character" w:styleId="PageNumber">
    <w:name w:val="page number"/>
    <w:basedOn w:val="DefaultParagraphFont"/>
    <w:uiPriority w:val="99"/>
    <w:semiHidden/>
    <w:unhideWhenUsed/>
    <w:rsid w:val="0091094A"/>
  </w:style>
  <w:style w:type="character" w:customStyle="1" w:styleId="Heading1Char">
    <w:name w:val="Heading 1 Char"/>
    <w:basedOn w:val="DefaultParagraphFont"/>
    <w:link w:val="Heading1"/>
    <w:uiPriority w:val="9"/>
    <w:rsid w:val="0091094A"/>
    <w:rPr>
      <w:rFonts w:ascii="Arial" w:eastAsiaTheme="majorEastAsia" w:hAnsi="Arial" w:cstheme="majorBidi"/>
      <w:b/>
      <w:color w:val="000000" w:themeColor="text1"/>
      <w:sz w:val="28"/>
      <w:szCs w:val="32"/>
    </w:rPr>
  </w:style>
  <w:style w:type="paragraph" w:styleId="FootnoteText">
    <w:name w:val="footnote text"/>
    <w:basedOn w:val="Normal"/>
    <w:link w:val="FootnoteTextChar"/>
    <w:uiPriority w:val="99"/>
    <w:semiHidden/>
    <w:unhideWhenUsed/>
    <w:rsid w:val="0091094A"/>
    <w:rPr>
      <w:sz w:val="20"/>
      <w:szCs w:val="20"/>
    </w:rPr>
  </w:style>
  <w:style w:type="character" w:customStyle="1" w:styleId="FootnoteTextChar">
    <w:name w:val="Footnote Text Char"/>
    <w:basedOn w:val="DefaultParagraphFont"/>
    <w:link w:val="FootnoteText"/>
    <w:uiPriority w:val="99"/>
    <w:semiHidden/>
    <w:rsid w:val="0091094A"/>
    <w:rPr>
      <w:sz w:val="20"/>
      <w:szCs w:val="20"/>
    </w:rPr>
  </w:style>
  <w:style w:type="character" w:styleId="FootnoteReference">
    <w:name w:val="footnote reference"/>
    <w:basedOn w:val="DefaultParagraphFont"/>
    <w:uiPriority w:val="99"/>
    <w:semiHidden/>
    <w:unhideWhenUsed/>
    <w:rsid w:val="0091094A"/>
    <w:rPr>
      <w:vertAlign w:val="superscript"/>
    </w:rPr>
  </w:style>
  <w:style w:type="character" w:styleId="CommentReference">
    <w:name w:val="annotation reference"/>
    <w:basedOn w:val="DefaultParagraphFont"/>
    <w:uiPriority w:val="99"/>
    <w:semiHidden/>
    <w:unhideWhenUsed/>
    <w:rsid w:val="0012613B"/>
    <w:rPr>
      <w:sz w:val="16"/>
      <w:szCs w:val="16"/>
    </w:rPr>
  </w:style>
  <w:style w:type="paragraph" w:styleId="CommentText">
    <w:name w:val="annotation text"/>
    <w:basedOn w:val="Normal"/>
    <w:link w:val="CommentTextChar"/>
    <w:uiPriority w:val="99"/>
    <w:semiHidden/>
    <w:unhideWhenUsed/>
    <w:rsid w:val="0012613B"/>
    <w:rPr>
      <w:sz w:val="20"/>
      <w:szCs w:val="20"/>
    </w:rPr>
  </w:style>
  <w:style w:type="character" w:customStyle="1" w:styleId="CommentTextChar">
    <w:name w:val="Comment Text Char"/>
    <w:basedOn w:val="DefaultParagraphFont"/>
    <w:link w:val="CommentText"/>
    <w:uiPriority w:val="99"/>
    <w:semiHidden/>
    <w:rsid w:val="0012613B"/>
    <w:rPr>
      <w:sz w:val="20"/>
      <w:szCs w:val="20"/>
    </w:rPr>
  </w:style>
  <w:style w:type="paragraph" w:styleId="CommentSubject">
    <w:name w:val="annotation subject"/>
    <w:basedOn w:val="CommentText"/>
    <w:next w:val="CommentText"/>
    <w:link w:val="CommentSubjectChar"/>
    <w:uiPriority w:val="99"/>
    <w:semiHidden/>
    <w:unhideWhenUsed/>
    <w:rsid w:val="0012613B"/>
    <w:rPr>
      <w:b/>
      <w:bCs/>
    </w:rPr>
  </w:style>
  <w:style w:type="character" w:customStyle="1" w:styleId="CommentSubjectChar">
    <w:name w:val="Comment Subject Char"/>
    <w:basedOn w:val="CommentTextChar"/>
    <w:link w:val="CommentSubject"/>
    <w:uiPriority w:val="99"/>
    <w:semiHidden/>
    <w:rsid w:val="0012613B"/>
    <w:rPr>
      <w:b/>
      <w:bCs/>
      <w:sz w:val="20"/>
      <w:szCs w:val="20"/>
    </w:rPr>
  </w:style>
  <w:style w:type="paragraph" w:styleId="BalloonText">
    <w:name w:val="Balloon Text"/>
    <w:basedOn w:val="Normal"/>
    <w:link w:val="BalloonTextChar"/>
    <w:uiPriority w:val="99"/>
    <w:semiHidden/>
    <w:unhideWhenUsed/>
    <w:rsid w:val="001261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13B"/>
    <w:rPr>
      <w:rFonts w:ascii="Times New Roman" w:hAnsi="Times New Roman" w:cs="Times New Roman"/>
      <w:sz w:val="18"/>
      <w:szCs w:val="18"/>
    </w:rPr>
  </w:style>
  <w:style w:type="paragraph" w:styleId="NormalWeb">
    <w:name w:val="Normal (Web)"/>
    <w:basedOn w:val="Normal"/>
    <w:uiPriority w:val="99"/>
    <w:unhideWhenUsed/>
    <w:rsid w:val="002B0D30"/>
    <w:rPr>
      <w:rFonts w:ascii="Times New Roman" w:hAnsi="Times New Roman" w:cs="Times New Roman"/>
    </w:rPr>
  </w:style>
  <w:style w:type="table" w:styleId="TableGrid">
    <w:name w:val="Table Grid"/>
    <w:basedOn w:val="TableNormal"/>
    <w:uiPriority w:val="39"/>
    <w:rsid w:val="00F9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2F0E"/>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8E61A1"/>
    <w:rPr>
      <w:color w:val="954F72" w:themeColor="followedHyperlink"/>
      <w:u w:val="single"/>
    </w:rPr>
  </w:style>
  <w:style w:type="paragraph" w:styleId="TOCHeading">
    <w:name w:val="TOC Heading"/>
    <w:basedOn w:val="Heading1"/>
    <w:next w:val="Normal"/>
    <w:uiPriority w:val="39"/>
    <w:unhideWhenUsed/>
    <w:qFormat/>
    <w:rsid w:val="00EB765C"/>
    <w:pPr>
      <w:spacing w:before="480" w:line="276" w:lineRule="auto"/>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362F0E"/>
    <w:pPr>
      <w:tabs>
        <w:tab w:val="right" w:leader="dot" w:pos="9010"/>
      </w:tabs>
      <w:spacing w:before="120"/>
    </w:pPr>
    <w:rPr>
      <w:b/>
      <w:bCs/>
      <w:i/>
      <w:iCs/>
    </w:rPr>
  </w:style>
  <w:style w:type="paragraph" w:styleId="TOC2">
    <w:name w:val="toc 2"/>
    <w:basedOn w:val="Normal"/>
    <w:next w:val="Normal"/>
    <w:autoRedefine/>
    <w:uiPriority w:val="39"/>
    <w:unhideWhenUsed/>
    <w:rsid w:val="00EB765C"/>
    <w:pPr>
      <w:spacing w:before="120"/>
      <w:ind w:left="240"/>
    </w:pPr>
    <w:rPr>
      <w:b/>
      <w:bCs/>
      <w:sz w:val="22"/>
      <w:szCs w:val="22"/>
    </w:rPr>
  </w:style>
  <w:style w:type="paragraph" w:styleId="TOC3">
    <w:name w:val="toc 3"/>
    <w:basedOn w:val="Normal"/>
    <w:next w:val="Normal"/>
    <w:autoRedefine/>
    <w:uiPriority w:val="39"/>
    <w:semiHidden/>
    <w:unhideWhenUsed/>
    <w:rsid w:val="00EB765C"/>
    <w:pPr>
      <w:ind w:left="480"/>
    </w:pPr>
    <w:rPr>
      <w:sz w:val="20"/>
      <w:szCs w:val="20"/>
    </w:rPr>
  </w:style>
  <w:style w:type="paragraph" w:styleId="TOC4">
    <w:name w:val="toc 4"/>
    <w:basedOn w:val="Normal"/>
    <w:next w:val="Normal"/>
    <w:autoRedefine/>
    <w:uiPriority w:val="39"/>
    <w:semiHidden/>
    <w:unhideWhenUsed/>
    <w:rsid w:val="00EB765C"/>
    <w:pPr>
      <w:ind w:left="720"/>
    </w:pPr>
    <w:rPr>
      <w:sz w:val="20"/>
      <w:szCs w:val="20"/>
    </w:rPr>
  </w:style>
  <w:style w:type="paragraph" w:styleId="TOC5">
    <w:name w:val="toc 5"/>
    <w:basedOn w:val="Normal"/>
    <w:next w:val="Normal"/>
    <w:autoRedefine/>
    <w:uiPriority w:val="39"/>
    <w:semiHidden/>
    <w:unhideWhenUsed/>
    <w:rsid w:val="00EB765C"/>
    <w:pPr>
      <w:ind w:left="960"/>
    </w:pPr>
    <w:rPr>
      <w:sz w:val="20"/>
      <w:szCs w:val="20"/>
    </w:rPr>
  </w:style>
  <w:style w:type="paragraph" w:styleId="TOC6">
    <w:name w:val="toc 6"/>
    <w:basedOn w:val="Normal"/>
    <w:next w:val="Normal"/>
    <w:autoRedefine/>
    <w:uiPriority w:val="39"/>
    <w:semiHidden/>
    <w:unhideWhenUsed/>
    <w:rsid w:val="00EB765C"/>
    <w:pPr>
      <w:ind w:left="1200"/>
    </w:pPr>
    <w:rPr>
      <w:sz w:val="20"/>
      <w:szCs w:val="20"/>
    </w:rPr>
  </w:style>
  <w:style w:type="paragraph" w:styleId="TOC7">
    <w:name w:val="toc 7"/>
    <w:basedOn w:val="Normal"/>
    <w:next w:val="Normal"/>
    <w:autoRedefine/>
    <w:uiPriority w:val="39"/>
    <w:semiHidden/>
    <w:unhideWhenUsed/>
    <w:rsid w:val="00EB765C"/>
    <w:pPr>
      <w:ind w:left="1440"/>
    </w:pPr>
    <w:rPr>
      <w:sz w:val="20"/>
      <w:szCs w:val="20"/>
    </w:rPr>
  </w:style>
  <w:style w:type="paragraph" w:styleId="TOC8">
    <w:name w:val="toc 8"/>
    <w:basedOn w:val="Normal"/>
    <w:next w:val="Normal"/>
    <w:autoRedefine/>
    <w:uiPriority w:val="39"/>
    <w:semiHidden/>
    <w:unhideWhenUsed/>
    <w:rsid w:val="00EB765C"/>
    <w:pPr>
      <w:ind w:left="1680"/>
    </w:pPr>
    <w:rPr>
      <w:sz w:val="20"/>
      <w:szCs w:val="20"/>
    </w:rPr>
  </w:style>
  <w:style w:type="paragraph" w:styleId="TOC9">
    <w:name w:val="toc 9"/>
    <w:basedOn w:val="Normal"/>
    <w:next w:val="Normal"/>
    <w:autoRedefine/>
    <w:uiPriority w:val="39"/>
    <w:semiHidden/>
    <w:unhideWhenUsed/>
    <w:rsid w:val="00EB765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526">
      <w:bodyDiv w:val="1"/>
      <w:marLeft w:val="0"/>
      <w:marRight w:val="0"/>
      <w:marTop w:val="0"/>
      <w:marBottom w:val="0"/>
      <w:divBdr>
        <w:top w:val="none" w:sz="0" w:space="0" w:color="auto"/>
        <w:left w:val="none" w:sz="0" w:space="0" w:color="auto"/>
        <w:bottom w:val="none" w:sz="0" w:space="0" w:color="auto"/>
        <w:right w:val="none" w:sz="0" w:space="0" w:color="auto"/>
      </w:divBdr>
      <w:divsChild>
        <w:div w:id="55904427">
          <w:marLeft w:val="0"/>
          <w:marRight w:val="0"/>
          <w:marTop w:val="0"/>
          <w:marBottom w:val="0"/>
          <w:divBdr>
            <w:top w:val="none" w:sz="0" w:space="0" w:color="auto"/>
            <w:left w:val="none" w:sz="0" w:space="0" w:color="auto"/>
            <w:bottom w:val="none" w:sz="0" w:space="0" w:color="auto"/>
            <w:right w:val="none" w:sz="0" w:space="0" w:color="auto"/>
          </w:divBdr>
          <w:divsChild>
            <w:div w:id="1343779371">
              <w:marLeft w:val="0"/>
              <w:marRight w:val="0"/>
              <w:marTop w:val="0"/>
              <w:marBottom w:val="0"/>
              <w:divBdr>
                <w:top w:val="none" w:sz="0" w:space="0" w:color="auto"/>
                <w:left w:val="none" w:sz="0" w:space="0" w:color="auto"/>
                <w:bottom w:val="none" w:sz="0" w:space="0" w:color="auto"/>
                <w:right w:val="none" w:sz="0" w:space="0" w:color="auto"/>
              </w:divBdr>
              <w:divsChild>
                <w:div w:id="1268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426">
      <w:bodyDiv w:val="1"/>
      <w:marLeft w:val="0"/>
      <w:marRight w:val="0"/>
      <w:marTop w:val="0"/>
      <w:marBottom w:val="0"/>
      <w:divBdr>
        <w:top w:val="none" w:sz="0" w:space="0" w:color="auto"/>
        <w:left w:val="none" w:sz="0" w:space="0" w:color="auto"/>
        <w:bottom w:val="none" w:sz="0" w:space="0" w:color="auto"/>
        <w:right w:val="none" w:sz="0" w:space="0" w:color="auto"/>
      </w:divBdr>
      <w:divsChild>
        <w:div w:id="2063095520">
          <w:marLeft w:val="0"/>
          <w:marRight w:val="0"/>
          <w:marTop w:val="0"/>
          <w:marBottom w:val="0"/>
          <w:divBdr>
            <w:top w:val="none" w:sz="0" w:space="0" w:color="auto"/>
            <w:left w:val="none" w:sz="0" w:space="0" w:color="auto"/>
            <w:bottom w:val="none" w:sz="0" w:space="0" w:color="auto"/>
            <w:right w:val="none" w:sz="0" w:space="0" w:color="auto"/>
          </w:divBdr>
          <w:divsChild>
            <w:div w:id="1957060498">
              <w:marLeft w:val="0"/>
              <w:marRight w:val="0"/>
              <w:marTop w:val="0"/>
              <w:marBottom w:val="0"/>
              <w:divBdr>
                <w:top w:val="none" w:sz="0" w:space="0" w:color="auto"/>
                <w:left w:val="none" w:sz="0" w:space="0" w:color="auto"/>
                <w:bottom w:val="none" w:sz="0" w:space="0" w:color="auto"/>
                <w:right w:val="none" w:sz="0" w:space="0" w:color="auto"/>
              </w:divBdr>
              <w:divsChild>
                <w:div w:id="1623732681">
                  <w:marLeft w:val="0"/>
                  <w:marRight w:val="0"/>
                  <w:marTop w:val="0"/>
                  <w:marBottom w:val="0"/>
                  <w:divBdr>
                    <w:top w:val="none" w:sz="0" w:space="0" w:color="auto"/>
                    <w:left w:val="none" w:sz="0" w:space="0" w:color="auto"/>
                    <w:bottom w:val="none" w:sz="0" w:space="0" w:color="auto"/>
                    <w:right w:val="none" w:sz="0" w:space="0" w:color="auto"/>
                  </w:divBdr>
                  <w:divsChild>
                    <w:div w:id="1416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5409">
      <w:bodyDiv w:val="1"/>
      <w:marLeft w:val="0"/>
      <w:marRight w:val="0"/>
      <w:marTop w:val="0"/>
      <w:marBottom w:val="0"/>
      <w:divBdr>
        <w:top w:val="none" w:sz="0" w:space="0" w:color="auto"/>
        <w:left w:val="none" w:sz="0" w:space="0" w:color="auto"/>
        <w:bottom w:val="none" w:sz="0" w:space="0" w:color="auto"/>
        <w:right w:val="none" w:sz="0" w:space="0" w:color="auto"/>
      </w:divBdr>
      <w:divsChild>
        <w:div w:id="1017538708">
          <w:marLeft w:val="0"/>
          <w:marRight w:val="0"/>
          <w:marTop w:val="0"/>
          <w:marBottom w:val="0"/>
          <w:divBdr>
            <w:top w:val="none" w:sz="0" w:space="0" w:color="auto"/>
            <w:left w:val="none" w:sz="0" w:space="0" w:color="auto"/>
            <w:bottom w:val="none" w:sz="0" w:space="0" w:color="auto"/>
            <w:right w:val="none" w:sz="0" w:space="0" w:color="auto"/>
          </w:divBdr>
          <w:divsChild>
            <w:div w:id="1309744628">
              <w:marLeft w:val="0"/>
              <w:marRight w:val="0"/>
              <w:marTop w:val="0"/>
              <w:marBottom w:val="0"/>
              <w:divBdr>
                <w:top w:val="none" w:sz="0" w:space="0" w:color="auto"/>
                <w:left w:val="none" w:sz="0" w:space="0" w:color="auto"/>
                <w:bottom w:val="none" w:sz="0" w:space="0" w:color="auto"/>
                <w:right w:val="none" w:sz="0" w:space="0" w:color="auto"/>
              </w:divBdr>
              <w:divsChild>
                <w:div w:id="1097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2568">
      <w:bodyDiv w:val="1"/>
      <w:marLeft w:val="0"/>
      <w:marRight w:val="0"/>
      <w:marTop w:val="0"/>
      <w:marBottom w:val="0"/>
      <w:divBdr>
        <w:top w:val="none" w:sz="0" w:space="0" w:color="auto"/>
        <w:left w:val="none" w:sz="0" w:space="0" w:color="auto"/>
        <w:bottom w:val="none" w:sz="0" w:space="0" w:color="auto"/>
        <w:right w:val="none" w:sz="0" w:space="0" w:color="auto"/>
      </w:divBdr>
    </w:div>
    <w:div w:id="350224577">
      <w:bodyDiv w:val="1"/>
      <w:marLeft w:val="0"/>
      <w:marRight w:val="0"/>
      <w:marTop w:val="0"/>
      <w:marBottom w:val="0"/>
      <w:divBdr>
        <w:top w:val="none" w:sz="0" w:space="0" w:color="auto"/>
        <w:left w:val="none" w:sz="0" w:space="0" w:color="auto"/>
        <w:bottom w:val="none" w:sz="0" w:space="0" w:color="auto"/>
        <w:right w:val="none" w:sz="0" w:space="0" w:color="auto"/>
      </w:divBdr>
      <w:divsChild>
        <w:div w:id="1717729726">
          <w:marLeft w:val="0"/>
          <w:marRight w:val="0"/>
          <w:marTop w:val="0"/>
          <w:marBottom w:val="0"/>
          <w:divBdr>
            <w:top w:val="none" w:sz="0" w:space="0" w:color="auto"/>
            <w:left w:val="none" w:sz="0" w:space="0" w:color="auto"/>
            <w:bottom w:val="none" w:sz="0" w:space="0" w:color="auto"/>
            <w:right w:val="none" w:sz="0" w:space="0" w:color="auto"/>
          </w:divBdr>
          <w:divsChild>
            <w:div w:id="740643001">
              <w:marLeft w:val="0"/>
              <w:marRight w:val="0"/>
              <w:marTop w:val="0"/>
              <w:marBottom w:val="0"/>
              <w:divBdr>
                <w:top w:val="none" w:sz="0" w:space="0" w:color="auto"/>
                <w:left w:val="none" w:sz="0" w:space="0" w:color="auto"/>
                <w:bottom w:val="none" w:sz="0" w:space="0" w:color="auto"/>
                <w:right w:val="none" w:sz="0" w:space="0" w:color="auto"/>
              </w:divBdr>
              <w:divsChild>
                <w:div w:id="1298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0574">
      <w:bodyDiv w:val="1"/>
      <w:marLeft w:val="0"/>
      <w:marRight w:val="0"/>
      <w:marTop w:val="0"/>
      <w:marBottom w:val="0"/>
      <w:divBdr>
        <w:top w:val="none" w:sz="0" w:space="0" w:color="auto"/>
        <w:left w:val="none" w:sz="0" w:space="0" w:color="auto"/>
        <w:bottom w:val="none" w:sz="0" w:space="0" w:color="auto"/>
        <w:right w:val="none" w:sz="0" w:space="0" w:color="auto"/>
      </w:divBdr>
    </w:div>
    <w:div w:id="423964935">
      <w:bodyDiv w:val="1"/>
      <w:marLeft w:val="0"/>
      <w:marRight w:val="0"/>
      <w:marTop w:val="0"/>
      <w:marBottom w:val="0"/>
      <w:divBdr>
        <w:top w:val="none" w:sz="0" w:space="0" w:color="auto"/>
        <w:left w:val="none" w:sz="0" w:space="0" w:color="auto"/>
        <w:bottom w:val="none" w:sz="0" w:space="0" w:color="auto"/>
        <w:right w:val="none" w:sz="0" w:space="0" w:color="auto"/>
      </w:divBdr>
      <w:divsChild>
        <w:div w:id="402023905">
          <w:marLeft w:val="0"/>
          <w:marRight w:val="0"/>
          <w:marTop w:val="0"/>
          <w:marBottom w:val="0"/>
          <w:divBdr>
            <w:top w:val="none" w:sz="0" w:space="0" w:color="auto"/>
            <w:left w:val="none" w:sz="0" w:space="0" w:color="auto"/>
            <w:bottom w:val="none" w:sz="0" w:space="0" w:color="auto"/>
            <w:right w:val="none" w:sz="0" w:space="0" w:color="auto"/>
          </w:divBdr>
          <w:divsChild>
            <w:div w:id="605619431">
              <w:marLeft w:val="0"/>
              <w:marRight w:val="0"/>
              <w:marTop w:val="0"/>
              <w:marBottom w:val="0"/>
              <w:divBdr>
                <w:top w:val="none" w:sz="0" w:space="0" w:color="auto"/>
                <w:left w:val="none" w:sz="0" w:space="0" w:color="auto"/>
                <w:bottom w:val="none" w:sz="0" w:space="0" w:color="auto"/>
                <w:right w:val="none" w:sz="0" w:space="0" w:color="auto"/>
              </w:divBdr>
              <w:divsChild>
                <w:div w:id="85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512">
      <w:bodyDiv w:val="1"/>
      <w:marLeft w:val="0"/>
      <w:marRight w:val="0"/>
      <w:marTop w:val="0"/>
      <w:marBottom w:val="0"/>
      <w:divBdr>
        <w:top w:val="none" w:sz="0" w:space="0" w:color="auto"/>
        <w:left w:val="none" w:sz="0" w:space="0" w:color="auto"/>
        <w:bottom w:val="none" w:sz="0" w:space="0" w:color="auto"/>
        <w:right w:val="none" w:sz="0" w:space="0" w:color="auto"/>
      </w:divBdr>
    </w:div>
    <w:div w:id="569196053">
      <w:bodyDiv w:val="1"/>
      <w:marLeft w:val="0"/>
      <w:marRight w:val="0"/>
      <w:marTop w:val="0"/>
      <w:marBottom w:val="0"/>
      <w:divBdr>
        <w:top w:val="none" w:sz="0" w:space="0" w:color="auto"/>
        <w:left w:val="none" w:sz="0" w:space="0" w:color="auto"/>
        <w:bottom w:val="none" w:sz="0" w:space="0" w:color="auto"/>
        <w:right w:val="none" w:sz="0" w:space="0" w:color="auto"/>
      </w:divBdr>
      <w:divsChild>
        <w:div w:id="1481340637">
          <w:marLeft w:val="0"/>
          <w:marRight w:val="0"/>
          <w:marTop w:val="0"/>
          <w:marBottom w:val="0"/>
          <w:divBdr>
            <w:top w:val="none" w:sz="0" w:space="0" w:color="auto"/>
            <w:left w:val="none" w:sz="0" w:space="0" w:color="auto"/>
            <w:bottom w:val="none" w:sz="0" w:space="0" w:color="auto"/>
            <w:right w:val="none" w:sz="0" w:space="0" w:color="auto"/>
          </w:divBdr>
          <w:divsChild>
            <w:div w:id="1972007206">
              <w:marLeft w:val="0"/>
              <w:marRight w:val="0"/>
              <w:marTop w:val="0"/>
              <w:marBottom w:val="0"/>
              <w:divBdr>
                <w:top w:val="none" w:sz="0" w:space="0" w:color="auto"/>
                <w:left w:val="none" w:sz="0" w:space="0" w:color="auto"/>
                <w:bottom w:val="none" w:sz="0" w:space="0" w:color="auto"/>
                <w:right w:val="none" w:sz="0" w:space="0" w:color="auto"/>
              </w:divBdr>
              <w:divsChild>
                <w:div w:id="2029216474">
                  <w:marLeft w:val="0"/>
                  <w:marRight w:val="0"/>
                  <w:marTop w:val="0"/>
                  <w:marBottom w:val="0"/>
                  <w:divBdr>
                    <w:top w:val="none" w:sz="0" w:space="0" w:color="auto"/>
                    <w:left w:val="none" w:sz="0" w:space="0" w:color="auto"/>
                    <w:bottom w:val="none" w:sz="0" w:space="0" w:color="auto"/>
                    <w:right w:val="none" w:sz="0" w:space="0" w:color="auto"/>
                  </w:divBdr>
                  <w:divsChild>
                    <w:div w:id="18902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09654">
      <w:bodyDiv w:val="1"/>
      <w:marLeft w:val="0"/>
      <w:marRight w:val="0"/>
      <w:marTop w:val="0"/>
      <w:marBottom w:val="0"/>
      <w:divBdr>
        <w:top w:val="none" w:sz="0" w:space="0" w:color="auto"/>
        <w:left w:val="none" w:sz="0" w:space="0" w:color="auto"/>
        <w:bottom w:val="none" w:sz="0" w:space="0" w:color="auto"/>
        <w:right w:val="none" w:sz="0" w:space="0" w:color="auto"/>
      </w:divBdr>
    </w:div>
    <w:div w:id="701519932">
      <w:bodyDiv w:val="1"/>
      <w:marLeft w:val="0"/>
      <w:marRight w:val="0"/>
      <w:marTop w:val="0"/>
      <w:marBottom w:val="0"/>
      <w:divBdr>
        <w:top w:val="none" w:sz="0" w:space="0" w:color="auto"/>
        <w:left w:val="none" w:sz="0" w:space="0" w:color="auto"/>
        <w:bottom w:val="none" w:sz="0" w:space="0" w:color="auto"/>
        <w:right w:val="none" w:sz="0" w:space="0" w:color="auto"/>
      </w:divBdr>
    </w:div>
    <w:div w:id="924000436">
      <w:bodyDiv w:val="1"/>
      <w:marLeft w:val="0"/>
      <w:marRight w:val="0"/>
      <w:marTop w:val="0"/>
      <w:marBottom w:val="0"/>
      <w:divBdr>
        <w:top w:val="none" w:sz="0" w:space="0" w:color="auto"/>
        <w:left w:val="none" w:sz="0" w:space="0" w:color="auto"/>
        <w:bottom w:val="none" w:sz="0" w:space="0" w:color="auto"/>
        <w:right w:val="none" w:sz="0" w:space="0" w:color="auto"/>
      </w:divBdr>
      <w:divsChild>
        <w:div w:id="2110735473">
          <w:marLeft w:val="0"/>
          <w:marRight w:val="0"/>
          <w:marTop w:val="0"/>
          <w:marBottom w:val="0"/>
          <w:divBdr>
            <w:top w:val="none" w:sz="0" w:space="0" w:color="auto"/>
            <w:left w:val="none" w:sz="0" w:space="0" w:color="auto"/>
            <w:bottom w:val="none" w:sz="0" w:space="0" w:color="auto"/>
            <w:right w:val="none" w:sz="0" w:space="0" w:color="auto"/>
          </w:divBdr>
          <w:divsChild>
            <w:div w:id="530918506">
              <w:marLeft w:val="0"/>
              <w:marRight w:val="0"/>
              <w:marTop w:val="0"/>
              <w:marBottom w:val="0"/>
              <w:divBdr>
                <w:top w:val="none" w:sz="0" w:space="0" w:color="auto"/>
                <w:left w:val="none" w:sz="0" w:space="0" w:color="auto"/>
                <w:bottom w:val="none" w:sz="0" w:space="0" w:color="auto"/>
                <w:right w:val="none" w:sz="0" w:space="0" w:color="auto"/>
              </w:divBdr>
              <w:divsChild>
                <w:div w:id="227227332">
                  <w:marLeft w:val="0"/>
                  <w:marRight w:val="0"/>
                  <w:marTop w:val="0"/>
                  <w:marBottom w:val="0"/>
                  <w:divBdr>
                    <w:top w:val="none" w:sz="0" w:space="0" w:color="auto"/>
                    <w:left w:val="none" w:sz="0" w:space="0" w:color="auto"/>
                    <w:bottom w:val="none" w:sz="0" w:space="0" w:color="auto"/>
                    <w:right w:val="none" w:sz="0" w:space="0" w:color="auto"/>
                  </w:divBdr>
                  <w:divsChild>
                    <w:div w:id="1797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7015">
      <w:bodyDiv w:val="1"/>
      <w:marLeft w:val="0"/>
      <w:marRight w:val="0"/>
      <w:marTop w:val="0"/>
      <w:marBottom w:val="0"/>
      <w:divBdr>
        <w:top w:val="none" w:sz="0" w:space="0" w:color="auto"/>
        <w:left w:val="none" w:sz="0" w:space="0" w:color="auto"/>
        <w:bottom w:val="none" w:sz="0" w:space="0" w:color="auto"/>
        <w:right w:val="none" w:sz="0" w:space="0" w:color="auto"/>
      </w:divBdr>
    </w:div>
    <w:div w:id="1523862549">
      <w:bodyDiv w:val="1"/>
      <w:marLeft w:val="0"/>
      <w:marRight w:val="0"/>
      <w:marTop w:val="0"/>
      <w:marBottom w:val="0"/>
      <w:divBdr>
        <w:top w:val="none" w:sz="0" w:space="0" w:color="auto"/>
        <w:left w:val="none" w:sz="0" w:space="0" w:color="auto"/>
        <w:bottom w:val="none" w:sz="0" w:space="0" w:color="auto"/>
        <w:right w:val="none" w:sz="0" w:space="0" w:color="auto"/>
      </w:divBdr>
    </w:div>
    <w:div w:id="1642270445">
      <w:bodyDiv w:val="1"/>
      <w:marLeft w:val="0"/>
      <w:marRight w:val="0"/>
      <w:marTop w:val="0"/>
      <w:marBottom w:val="0"/>
      <w:divBdr>
        <w:top w:val="none" w:sz="0" w:space="0" w:color="auto"/>
        <w:left w:val="none" w:sz="0" w:space="0" w:color="auto"/>
        <w:bottom w:val="none" w:sz="0" w:space="0" w:color="auto"/>
        <w:right w:val="none" w:sz="0" w:space="0" w:color="auto"/>
      </w:divBdr>
      <w:divsChild>
        <w:div w:id="1750928681">
          <w:marLeft w:val="0"/>
          <w:marRight w:val="0"/>
          <w:marTop w:val="0"/>
          <w:marBottom w:val="0"/>
          <w:divBdr>
            <w:top w:val="none" w:sz="0" w:space="0" w:color="auto"/>
            <w:left w:val="none" w:sz="0" w:space="0" w:color="auto"/>
            <w:bottom w:val="none" w:sz="0" w:space="0" w:color="auto"/>
            <w:right w:val="none" w:sz="0" w:space="0" w:color="auto"/>
          </w:divBdr>
          <w:divsChild>
            <w:div w:id="460811167">
              <w:marLeft w:val="0"/>
              <w:marRight w:val="0"/>
              <w:marTop w:val="0"/>
              <w:marBottom w:val="0"/>
              <w:divBdr>
                <w:top w:val="none" w:sz="0" w:space="0" w:color="auto"/>
                <w:left w:val="none" w:sz="0" w:space="0" w:color="auto"/>
                <w:bottom w:val="none" w:sz="0" w:space="0" w:color="auto"/>
                <w:right w:val="none" w:sz="0" w:space="0" w:color="auto"/>
              </w:divBdr>
              <w:divsChild>
                <w:div w:id="13192335">
                  <w:marLeft w:val="0"/>
                  <w:marRight w:val="0"/>
                  <w:marTop w:val="0"/>
                  <w:marBottom w:val="0"/>
                  <w:divBdr>
                    <w:top w:val="none" w:sz="0" w:space="0" w:color="auto"/>
                    <w:left w:val="none" w:sz="0" w:space="0" w:color="auto"/>
                    <w:bottom w:val="none" w:sz="0" w:space="0" w:color="auto"/>
                    <w:right w:val="none" w:sz="0" w:space="0" w:color="auto"/>
                  </w:divBdr>
                  <w:divsChild>
                    <w:div w:id="1029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8383">
      <w:bodyDiv w:val="1"/>
      <w:marLeft w:val="0"/>
      <w:marRight w:val="0"/>
      <w:marTop w:val="0"/>
      <w:marBottom w:val="0"/>
      <w:divBdr>
        <w:top w:val="none" w:sz="0" w:space="0" w:color="auto"/>
        <w:left w:val="none" w:sz="0" w:space="0" w:color="auto"/>
        <w:bottom w:val="none" w:sz="0" w:space="0" w:color="auto"/>
        <w:right w:val="none" w:sz="0" w:space="0" w:color="auto"/>
      </w:divBdr>
    </w:div>
    <w:div w:id="183560525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66">
          <w:marLeft w:val="0"/>
          <w:marRight w:val="0"/>
          <w:marTop w:val="0"/>
          <w:marBottom w:val="0"/>
          <w:divBdr>
            <w:top w:val="none" w:sz="0" w:space="0" w:color="auto"/>
            <w:left w:val="none" w:sz="0" w:space="0" w:color="auto"/>
            <w:bottom w:val="none" w:sz="0" w:space="0" w:color="auto"/>
            <w:right w:val="none" w:sz="0" w:space="0" w:color="auto"/>
          </w:divBdr>
          <w:divsChild>
            <w:div w:id="1063019165">
              <w:marLeft w:val="0"/>
              <w:marRight w:val="0"/>
              <w:marTop w:val="0"/>
              <w:marBottom w:val="0"/>
              <w:divBdr>
                <w:top w:val="none" w:sz="0" w:space="0" w:color="auto"/>
                <w:left w:val="none" w:sz="0" w:space="0" w:color="auto"/>
                <w:bottom w:val="none" w:sz="0" w:space="0" w:color="auto"/>
                <w:right w:val="none" w:sz="0" w:space="0" w:color="auto"/>
              </w:divBdr>
              <w:divsChild>
                <w:div w:id="6627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6128">
      <w:bodyDiv w:val="1"/>
      <w:marLeft w:val="0"/>
      <w:marRight w:val="0"/>
      <w:marTop w:val="0"/>
      <w:marBottom w:val="0"/>
      <w:divBdr>
        <w:top w:val="none" w:sz="0" w:space="0" w:color="auto"/>
        <w:left w:val="none" w:sz="0" w:space="0" w:color="auto"/>
        <w:bottom w:val="none" w:sz="0" w:space="0" w:color="auto"/>
        <w:right w:val="none" w:sz="0" w:space="0" w:color="auto"/>
      </w:divBdr>
    </w:div>
    <w:div w:id="1869485138">
      <w:bodyDiv w:val="1"/>
      <w:marLeft w:val="0"/>
      <w:marRight w:val="0"/>
      <w:marTop w:val="0"/>
      <w:marBottom w:val="0"/>
      <w:divBdr>
        <w:top w:val="none" w:sz="0" w:space="0" w:color="auto"/>
        <w:left w:val="none" w:sz="0" w:space="0" w:color="auto"/>
        <w:bottom w:val="none" w:sz="0" w:space="0" w:color="auto"/>
        <w:right w:val="none" w:sz="0" w:space="0" w:color="auto"/>
      </w:divBdr>
      <w:divsChild>
        <w:div w:id="87966317">
          <w:marLeft w:val="0"/>
          <w:marRight w:val="0"/>
          <w:marTop w:val="0"/>
          <w:marBottom w:val="0"/>
          <w:divBdr>
            <w:top w:val="none" w:sz="0" w:space="0" w:color="auto"/>
            <w:left w:val="none" w:sz="0" w:space="0" w:color="auto"/>
            <w:bottom w:val="none" w:sz="0" w:space="0" w:color="auto"/>
            <w:right w:val="none" w:sz="0" w:space="0" w:color="auto"/>
          </w:divBdr>
          <w:divsChild>
            <w:div w:id="1153638466">
              <w:marLeft w:val="0"/>
              <w:marRight w:val="0"/>
              <w:marTop w:val="0"/>
              <w:marBottom w:val="0"/>
              <w:divBdr>
                <w:top w:val="none" w:sz="0" w:space="0" w:color="auto"/>
                <w:left w:val="none" w:sz="0" w:space="0" w:color="auto"/>
                <w:bottom w:val="none" w:sz="0" w:space="0" w:color="auto"/>
                <w:right w:val="none" w:sz="0" w:space="0" w:color="auto"/>
              </w:divBdr>
              <w:divsChild>
                <w:div w:id="486408501">
                  <w:marLeft w:val="0"/>
                  <w:marRight w:val="0"/>
                  <w:marTop w:val="0"/>
                  <w:marBottom w:val="0"/>
                  <w:divBdr>
                    <w:top w:val="none" w:sz="0" w:space="0" w:color="auto"/>
                    <w:left w:val="none" w:sz="0" w:space="0" w:color="auto"/>
                    <w:bottom w:val="none" w:sz="0" w:space="0" w:color="auto"/>
                    <w:right w:val="none" w:sz="0" w:space="0" w:color="auto"/>
                  </w:divBdr>
                  <w:divsChild>
                    <w:div w:id="10463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39334">
      <w:bodyDiv w:val="1"/>
      <w:marLeft w:val="0"/>
      <w:marRight w:val="0"/>
      <w:marTop w:val="0"/>
      <w:marBottom w:val="0"/>
      <w:divBdr>
        <w:top w:val="none" w:sz="0" w:space="0" w:color="auto"/>
        <w:left w:val="none" w:sz="0" w:space="0" w:color="auto"/>
        <w:bottom w:val="none" w:sz="0" w:space="0" w:color="auto"/>
        <w:right w:val="none" w:sz="0" w:space="0" w:color="auto"/>
      </w:divBdr>
      <w:divsChild>
        <w:div w:id="621572430">
          <w:marLeft w:val="0"/>
          <w:marRight w:val="0"/>
          <w:marTop w:val="0"/>
          <w:marBottom w:val="0"/>
          <w:divBdr>
            <w:top w:val="none" w:sz="0" w:space="0" w:color="auto"/>
            <w:left w:val="none" w:sz="0" w:space="0" w:color="auto"/>
            <w:bottom w:val="none" w:sz="0" w:space="0" w:color="auto"/>
            <w:right w:val="none" w:sz="0" w:space="0" w:color="auto"/>
          </w:divBdr>
          <w:divsChild>
            <w:div w:id="1057555614">
              <w:marLeft w:val="0"/>
              <w:marRight w:val="0"/>
              <w:marTop w:val="0"/>
              <w:marBottom w:val="0"/>
              <w:divBdr>
                <w:top w:val="none" w:sz="0" w:space="0" w:color="auto"/>
                <w:left w:val="none" w:sz="0" w:space="0" w:color="auto"/>
                <w:bottom w:val="none" w:sz="0" w:space="0" w:color="auto"/>
                <w:right w:val="none" w:sz="0" w:space="0" w:color="auto"/>
              </w:divBdr>
              <w:divsChild>
                <w:div w:id="9147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9896">
      <w:bodyDiv w:val="1"/>
      <w:marLeft w:val="0"/>
      <w:marRight w:val="0"/>
      <w:marTop w:val="0"/>
      <w:marBottom w:val="0"/>
      <w:divBdr>
        <w:top w:val="none" w:sz="0" w:space="0" w:color="auto"/>
        <w:left w:val="none" w:sz="0" w:space="0" w:color="auto"/>
        <w:bottom w:val="none" w:sz="0" w:space="0" w:color="auto"/>
        <w:right w:val="none" w:sz="0" w:space="0" w:color="auto"/>
      </w:divBdr>
      <w:divsChild>
        <w:div w:id="1956249947">
          <w:marLeft w:val="0"/>
          <w:marRight w:val="0"/>
          <w:marTop w:val="0"/>
          <w:marBottom w:val="0"/>
          <w:divBdr>
            <w:top w:val="none" w:sz="0" w:space="0" w:color="auto"/>
            <w:left w:val="none" w:sz="0" w:space="0" w:color="auto"/>
            <w:bottom w:val="none" w:sz="0" w:space="0" w:color="auto"/>
            <w:right w:val="none" w:sz="0" w:space="0" w:color="auto"/>
          </w:divBdr>
          <w:divsChild>
            <w:div w:id="528492656">
              <w:marLeft w:val="0"/>
              <w:marRight w:val="0"/>
              <w:marTop w:val="0"/>
              <w:marBottom w:val="0"/>
              <w:divBdr>
                <w:top w:val="none" w:sz="0" w:space="0" w:color="auto"/>
                <w:left w:val="none" w:sz="0" w:space="0" w:color="auto"/>
                <w:bottom w:val="none" w:sz="0" w:space="0" w:color="auto"/>
                <w:right w:val="none" w:sz="0" w:space="0" w:color="auto"/>
              </w:divBdr>
              <w:divsChild>
                <w:div w:id="1669599978">
                  <w:marLeft w:val="0"/>
                  <w:marRight w:val="0"/>
                  <w:marTop w:val="0"/>
                  <w:marBottom w:val="0"/>
                  <w:divBdr>
                    <w:top w:val="none" w:sz="0" w:space="0" w:color="auto"/>
                    <w:left w:val="none" w:sz="0" w:space="0" w:color="auto"/>
                    <w:bottom w:val="none" w:sz="0" w:space="0" w:color="auto"/>
                    <w:right w:val="none" w:sz="0" w:space="0" w:color="auto"/>
                  </w:divBdr>
                  <w:divsChild>
                    <w:div w:id="1870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gov.scot/binaries/content/documents/govscot/publications/independent-report/2022/05/stop-sort-burn-bury-independent-review-role-incineration-waste-hierarchy-scotland/documents/stop-sort-burn-bury-independent-review-role-incineration-waste-hierarchy-scotland-report/stop-sort-burn-bury-independent-review-role-incineration-waste-hierarchy-scotland-report/govscot%3Adocument/stop-sort-burn-bury-independent-review-role-incineration-waste-hierarchy-scotland-report.pdf?forceDownload=true" TargetMode="External"/><Relationship Id="rId18" Type="http://schemas.openxmlformats.org/officeDocument/2006/relationships/hyperlink" Target="https://www.reloopplatform.org/wp-content/uploads/2022/06/D-HOGG-_Reloop_FINAL_June2022-1.pdf" TargetMode="External"/><Relationship Id="rId26" Type="http://schemas.openxmlformats.org/officeDocument/2006/relationships/hyperlink" Target="https://news.stv.tv/scotland/scotland-tonight-could-burning-rubbish-be-the-solution-to-soaring-energy-bills" TargetMode="External"/><Relationship Id="rId3" Type="http://schemas.openxmlformats.org/officeDocument/2006/relationships/hyperlink" Target="https://www.theccc.org.uk/wp-content/uploads/2020/12/Sector-summary-Electricity-generation.pdf" TargetMode="External"/><Relationship Id="rId21" Type="http://schemas.openxmlformats.org/officeDocument/2006/relationships/hyperlink" Target="https://www.unep.org/news-and-stories/press-release/historic-day-campaign-beat-plastic-pollution-nations-commit-develop" TargetMode="External"/><Relationship Id="rId7" Type="http://schemas.openxmlformats.org/officeDocument/2006/relationships/hyperlink" Target="https://zerowasteeurope.eu/library/el-dorado-of-chemical-recycling-state-of-play-and-policy-challenges/" TargetMode="External"/><Relationship Id="rId12" Type="http://schemas.openxmlformats.org/officeDocument/2006/relationships/hyperlink" Target="https://www.jtp.scot/policy/call-for-just-transition-principles-to-be-applied-to-moves-towards-a-circular-economy/" TargetMode="External"/><Relationship Id="rId17" Type="http://schemas.openxmlformats.org/officeDocument/2006/relationships/hyperlink" Target="https://www.clientearth.org/latest/documents/plastics-on-trial-4-waste-disposal-recycling/" TargetMode="External"/><Relationship Id="rId25" Type="http://schemas.openxmlformats.org/officeDocument/2006/relationships/hyperlink" Target="https://www.aberdeencity.gov.uk/ness-energy-project/sepa-permit-application" TargetMode="External"/><Relationship Id="rId33" Type="http://schemas.openxmlformats.org/officeDocument/2006/relationships/hyperlink" Target="https://www.climatechangenews.com/2022/09/16/copenhagens-failure-to-meet-2025-net-zero-target-casts-doubt-on-other-city-pledges/" TargetMode="External"/><Relationship Id="rId2" Type="http://schemas.openxmlformats.org/officeDocument/2006/relationships/hyperlink" Target="https://www.zerowastescotland.org.uk/content/climate-change-impact-burning-municipal-waste-scotland" TargetMode="External"/><Relationship Id="rId16" Type="http://schemas.openxmlformats.org/officeDocument/2006/relationships/hyperlink" Target="https://foe.scot/wp-content/uploads/2022/02/FoES-incin-review-response-1.pdf" TargetMode="External"/><Relationship Id="rId20" Type="http://schemas.openxmlformats.org/officeDocument/2006/relationships/hyperlink" Target="https://www.gov.scot/publications/consultation-delivering-scotlands-circular-economy-route-map-2025-beyond/" TargetMode="External"/><Relationship Id="rId29" Type="http://schemas.openxmlformats.org/officeDocument/2006/relationships/hyperlink" Target="https://prod-cms.viridor.co.uk/media/zyzmtjv0/eunomia-report-ccus.pdf" TargetMode="External"/><Relationship Id="rId1" Type="http://schemas.openxmlformats.org/officeDocument/2006/relationships/hyperlink" Target="https://foe.scot/resource/response-to-incineration-review/" TargetMode="External"/><Relationship Id="rId6" Type="http://schemas.openxmlformats.org/officeDocument/2006/relationships/hyperlink" Target="https://www.parliament.scot/chamber-and-committees/written-questions-and-answers/question?ref=S6W-10304" TargetMode="External"/><Relationship Id="rId11" Type="http://schemas.openxmlformats.org/officeDocument/2006/relationships/hyperlink" Target="https://www.bmuv.de/en/topics/climate-adaptation/climate-protection/national-climate-policy/translate-to-english-fragen-und-antworten-zum-kohleausstieg-in-deutschland" TargetMode="External"/><Relationship Id="rId24" Type="http://schemas.openxmlformats.org/officeDocument/2006/relationships/hyperlink" Target="https://www.aberdeencity.gov.uk/news/scottish-government-grant-awarded-second-phase-torry-heat-network" TargetMode="External"/><Relationship Id="rId32" Type="http://schemas.openxmlformats.org/officeDocument/2006/relationships/hyperlink" Target="https://ieefa.org/resources/carbon-capture-remains-risky-investment-achieving-decarbonisation" TargetMode="External"/><Relationship Id="rId5" Type="http://schemas.openxmlformats.org/officeDocument/2006/relationships/hyperlink" Target="https://www.zerowastescotland.org.uk/content/climate-change-impact-burning-municipal-waste-scotland" TargetMode="External"/><Relationship Id="rId15" Type="http://schemas.openxmlformats.org/officeDocument/2006/relationships/hyperlink" Target="https://theferret.scot/rogues-gallery-climate-polluters-top-20-revealed/" TargetMode="External"/><Relationship Id="rId23" Type="http://schemas.openxmlformats.org/officeDocument/2006/relationships/hyperlink" Target="https://www.aberdeencity.gov.uk/news/work-starts-next-week-heat-network-provide-low-cost-energy-homes-torry" TargetMode="External"/><Relationship Id="rId28" Type="http://schemas.openxmlformats.org/officeDocument/2006/relationships/hyperlink" Target="https://www.viridor.co.uk/our-ambition/decarbonisation/" TargetMode="External"/><Relationship Id="rId10" Type="http://schemas.openxmlformats.org/officeDocument/2006/relationships/hyperlink" Target="https://www.cleanenergywire.org/factsheets/spelling-out-coal-phase-out-germanys-exit-law-draft" TargetMode="External"/><Relationship Id="rId19" Type="http://schemas.openxmlformats.org/officeDocument/2006/relationships/hyperlink" Target="https://zerowasteeurope.eu/press-release/zero-waste-europe-approves-parliament-resolutions-on-red-iii/" TargetMode="External"/><Relationship Id="rId31" Type="http://schemas.openxmlformats.org/officeDocument/2006/relationships/hyperlink" Target="https://www.thescottishcluster.co.uk" TargetMode="External"/><Relationship Id="rId4" Type="http://schemas.openxmlformats.org/officeDocument/2006/relationships/hyperlink" Target="https://www.google.com/url?sa=t&amp;rct=j&amp;q=&amp;esrc=s&amp;source=web&amp;cd=&amp;ved=2ahUKEwjj_qbVtpb6AhWGglwKHY7jA-gQFnoECAwQAQ&amp;url=https%3A%2F%2Fwww.mdpi.com%2F1996-1073%2F14%2F11%2F3027%2Fpdf&amp;usg=AOvVaw0kKqgyF8BMrY5-EcVQ0yLz" TargetMode="External"/><Relationship Id="rId9" Type="http://schemas.openxmlformats.org/officeDocument/2006/relationships/hyperlink" Target="https://www.annualreviews.org/doi/pdf/10.1146/annurev-environ-110615-085934" TargetMode="External"/><Relationship Id="rId14" Type="http://schemas.openxmlformats.org/officeDocument/2006/relationships/hyperlink" Target="https://www.zerowastescotland.org.uk/our-work/carbon-metric-publications" TargetMode="External"/><Relationship Id="rId22" Type="http://schemas.openxmlformats.org/officeDocument/2006/relationships/hyperlink" Target="https://www.zerowastescotland.org.uk/sites/default/files/The%20climate%20change%20impact%20of%20burning%20municipal%20waste%20in%20Scotland%20Technical%20Report%20July%202021.pdf" TargetMode="External"/><Relationship Id="rId27" Type="http://schemas.openxmlformats.org/officeDocument/2006/relationships/hyperlink" Target="https://foe.scot/wp-content/uploads/2022/02/FoES-incin-review-response-1.pdf" TargetMode="External"/><Relationship Id="rId30" Type="http://schemas.openxmlformats.org/officeDocument/2006/relationships/hyperlink" Target="https://www.gov.uk/government/publications/cluster-sequencing-for-carbon-capture-usage-and-storage-ccus-deployment-phase-1-expressions-of-interest/october-2021-update-track-1-clusters-confirmed" TargetMode="External"/><Relationship Id="rId8" Type="http://schemas.openxmlformats.org/officeDocument/2006/relationships/hyperlink" Target="https://zerowasteeurope.eu/library/climate-impact-of-pyrolysis-of-waste-plastic-packaging/?mc_cid=55f7e5358a&amp;mc_eid=4afdc1c1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AAB3-3745-F043-93C1-49D5A970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Eilidh Stanners</cp:lastModifiedBy>
  <cp:revision>2</cp:revision>
  <dcterms:created xsi:type="dcterms:W3CDTF">2022-10-03T13:43:00Z</dcterms:created>
  <dcterms:modified xsi:type="dcterms:W3CDTF">2022-10-03T13:43:00Z</dcterms:modified>
</cp:coreProperties>
</file>